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549A" w:rsidRDefault="00D26127" w:rsidP="0064549A">
      <w:pPr>
        <w:spacing w:after="160" w:line="259" w:lineRule="auto"/>
        <w:rPr>
          <w:rFonts w:ascii="Montserrat Semi Bold" w:hAnsi="Montserrat Semi Bold"/>
          <w:smallCaps/>
          <w:color w:val="087379"/>
          <w:sz w:val="28"/>
        </w:rPr>
      </w:pPr>
      <w:bookmarkStart w:id="0" w:name="_Toc46911581"/>
      <w:bookmarkStart w:id="1" w:name="_Toc46920817"/>
      <w:bookmarkStart w:id="2" w:name="_Toc46921117"/>
      <w:bookmarkStart w:id="3" w:name="_Toc46924376"/>
      <w:bookmarkStart w:id="4" w:name="_Toc12476141"/>
      <w:bookmarkStart w:id="5" w:name="_Toc12537148"/>
      <w:bookmarkStart w:id="6" w:name="_Toc12982121"/>
      <w:bookmarkStart w:id="7" w:name="_Toc13484850"/>
      <w:bookmarkStart w:id="8" w:name="_Toc13496190"/>
      <w:bookmarkStart w:id="9" w:name="_Toc13498530"/>
      <w:bookmarkStart w:id="10" w:name="_Toc13508197"/>
      <w:bookmarkStart w:id="11" w:name="_Toc13647907"/>
      <w:bookmarkStart w:id="12" w:name="_Toc13648913"/>
      <w:bookmarkStart w:id="13" w:name="_Toc14367824"/>
      <w:bookmarkStart w:id="14" w:name="_Toc15642745"/>
      <w:bookmarkStart w:id="15" w:name="_Toc15643074"/>
      <w:bookmarkStart w:id="16" w:name="_Toc16842569"/>
      <w:r w:rsidRPr="00D26127">
        <w:rPr>
          <w:rFonts w:ascii="Montserrat Semi Bold" w:hAnsi="Montserrat Semi Bold"/>
          <w:smallCaps/>
          <w:noProof/>
          <w:color w:val="087379"/>
          <w:sz w:val="28"/>
          <w:lang w:eastAsia="en-AU"/>
        </w:rPr>
        <w:drawing>
          <wp:anchor distT="0" distB="0" distL="114300" distR="114300" simplePos="0" relativeHeight="251652607" behindDoc="1" locked="0" layoutInCell="1" allowOverlap="1" wp14:anchorId="2F485AF4" wp14:editId="6040D9A7">
            <wp:simplePos x="0" y="0"/>
            <wp:positionH relativeFrom="column">
              <wp:posOffset>-492125</wp:posOffset>
            </wp:positionH>
            <wp:positionV relativeFrom="margin">
              <wp:posOffset>74295</wp:posOffset>
            </wp:positionV>
            <wp:extent cx="3620770" cy="708025"/>
            <wp:effectExtent l="0" t="0" r="0" b="0"/>
            <wp:wrapThrough wrapText="bothSides">
              <wp:wrapPolygon edited="0">
                <wp:start x="2046" y="0"/>
                <wp:lineTo x="909" y="2325"/>
                <wp:lineTo x="0" y="6393"/>
                <wp:lineTo x="0" y="12786"/>
                <wp:lineTo x="3182" y="19178"/>
                <wp:lineTo x="4773" y="20922"/>
                <wp:lineTo x="18410" y="20922"/>
                <wp:lineTo x="18524" y="19178"/>
                <wp:lineTo x="21479" y="15691"/>
                <wp:lineTo x="21479" y="9880"/>
                <wp:lineTo x="13637" y="8717"/>
                <wp:lineTo x="13524" y="5230"/>
                <wp:lineTo x="2727" y="0"/>
                <wp:lineTo x="2046" y="0"/>
              </wp:wrapPolygon>
            </wp:wrapThrough>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20770" cy="708025"/>
                    </a:xfrm>
                    <a:prstGeom prst="rect">
                      <a:avLst/>
                    </a:prstGeom>
                  </pic:spPr>
                </pic:pic>
              </a:graphicData>
            </a:graphic>
          </wp:anchor>
        </w:drawing>
      </w:r>
      <w:r w:rsidR="0064549A" w:rsidRPr="009D7FE5">
        <w:rPr>
          <w:rFonts w:ascii="Montserrat Semi Bold" w:hAnsi="Montserrat Semi Bold"/>
          <w:smallCaps/>
          <w:noProof/>
          <w:color w:val="087379"/>
          <w:sz w:val="28"/>
          <w:lang w:eastAsia="en-AU"/>
        </w:rPr>
        <mc:AlternateContent>
          <mc:Choice Requires="wps">
            <w:drawing>
              <wp:anchor distT="0" distB="0" distL="182880" distR="182880" simplePos="0" relativeHeight="251660800" behindDoc="0" locked="1" layoutInCell="1" allowOverlap="1" wp14:anchorId="0BEA2B72" wp14:editId="0109C134">
                <wp:simplePos x="0" y="0"/>
                <wp:positionH relativeFrom="margin">
                  <wp:align>center</wp:align>
                </wp:positionH>
                <wp:positionV relativeFrom="page">
                  <wp:posOffset>1530985</wp:posOffset>
                </wp:positionV>
                <wp:extent cx="6494145" cy="4572000"/>
                <wp:effectExtent l="0" t="0" r="1905" b="0"/>
                <wp:wrapSquare wrapText="bothSides"/>
                <wp:docPr id="73" name="Text Box 73"/>
                <wp:cNvGraphicFramePr/>
                <a:graphic xmlns:a="http://schemas.openxmlformats.org/drawingml/2006/main">
                  <a:graphicData uri="http://schemas.microsoft.com/office/word/2010/wordprocessingShape">
                    <wps:wsp>
                      <wps:cNvSpPr txBox="1"/>
                      <wps:spPr>
                        <a:xfrm>
                          <a:off x="0" y="0"/>
                          <a:ext cx="6494145" cy="4572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34602" w:rsidRPr="009D7FE5" w:rsidRDefault="00C51B53" w:rsidP="0064549A">
                            <w:pPr>
                              <w:spacing w:before="26" w:after="371"/>
                              <w:rPr>
                                <w:rFonts w:ascii="Century Gothic" w:hAnsi="Century Gothic"/>
                                <w:b/>
                                <w:color w:val="FFFFFF" w:themeColor="background1"/>
                                <w:sz w:val="48"/>
                                <w:szCs w:val="48"/>
                              </w:rPr>
                            </w:pPr>
                            <w:sdt>
                              <w:sdtPr>
                                <w:rPr>
                                  <w:rFonts w:ascii="Century Gothic" w:hAnsi="Century Gothic"/>
                                  <w:b/>
                                  <w:color w:val="FFFFFF" w:themeColor="background1"/>
                                  <w:sz w:val="48"/>
                                  <w:szCs w:val="48"/>
                                </w:rPr>
                                <w:alias w:val="Document Heading"/>
                                <w:tag w:val="DH"/>
                                <w:id w:val="-1577504962"/>
                                <w:dataBinding w:xpath="/root[1]/DH[1]" w:storeItemID="{F533AE62-A212-4B26-92DA-A3B336E8AE06}"/>
                                <w:text w:multiLine="1"/>
                              </w:sdtPr>
                              <w:sdtEndPr/>
                              <w:sdtContent>
                                <w:r w:rsidR="00234602">
                                  <w:rPr>
                                    <w:rFonts w:ascii="Century Gothic" w:hAnsi="Century Gothic"/>
                                    <w:b/>
                                    <w:color w:val="FFFFFF" w:themeColor="background1"/>
                                    <w:sz w:val="48"/>
                                    <w:szCs w:val="48"/>
                                  </w:rPr>
                                  <w:t xml:space="preserve"> Data Availability and Transparency Bill 2020</w:t>
                                </w:r>
                                <w:r w:rsidR="00234602">
                                  <w:rPr>
                                    <w:rFonts w:ascii="Century Gothic" w:hAnsi="Century Gothic"/>
                                    <w:b/>
                                    <w:color w:val="FFFFFF" w:themeColor="background1"/>
                                    <w:sz w:val="48"/>
                                    <w:szCs w:val="48"/>
                                  </w:rPr>
                                  <w:br/>
                                  <w:t xml:space="preserve"> Exposure Draft</w:t>
                                </w:r>
                              </w:sdtContent>
                            </w:sdt>
                          </w:p>
                          <w:p w:rsidR="00234602" w:rsidRDefault="00234602" w:rsidP="0064549A">
                            <w:pPr>
                              <w:pStyle w:val="Footer"/>
                              <w:spacing w:after="238"/>
                              <w:rPr>
                                <w:rFonts w:ascii="Century Gothic" w:hAnsi="Century Gothic"/>
                                <w:color w:val="FFFFFF" w:themeColor="background1"/>
                                <w:sz w:val="44"/>
                              </w:rPr>
                            </w:pPr>
                            <w:r w:rsidRPr="009D7FE5">
                              <w:rPr>
                                <w:rFonts w:ascii="Century Gothic" w:hAnsi="Century Gothic"/>
                                <w:color w:val="FFFFFF" w:themeColor="background1"/>
                                <w:sz w:val="44"/>
                              </w:rPr>
                              <w:t>Consultation Paper</w:t>
                            </w:r>
                            <w:r>
                              <w:rPr>
                                <w:rFonts w:ascii="Century Gothic" w:hAnsi="Century Gothic"/>
                                <w:color w:val="FFFFFF" w:themeColor="background1"/>
                                <w:sz w:val="44"/>
                              </w:rPr>
                              <w:t xml:space="preserve">  </w:t>
                            </w:r>
                          </w:p>
                          <w:p w:rsidR="00234602" w:rsidRPr="009D7FE5" w:rsidRDefault="00234602" w:rsidP="0064549A">
                            <w:pPr>
                              <w:pStyle w:val="Footer"/>
                              <w:spacing w:after="238"/>
                              <w:rPr>
                                <w:rFonts w:ascii="Century Gothic" w:hAnsi="Century Gothic"/>
                                <w:color w:val="FFFFFF" w:themeColor="background1"/>
                                <w:sz w:val="44"/>
                              </w:rPr>
                            </w:pPr>
                            <w:r>
                              <w:rPr>
                                <w:rFonts w:ascii="Century Gothic" w:hAnsi="Century Gothic"/>
                                <w:color w:val="FFFFFF" w:themeColor="background1"/>
                                <w:sz w:val="44"/>
                              </w:rPr>
                              <w:t>September 2020</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0BEA2B72" id="_x0000_t202" coordsize="21600,21600" o:spt="202" path="m,l,21600r21600,l21600,xe">
                <v:stroke joinstyle="miter"/>
                <v:path gradientshapeok="t" o:connecttype="rect"/>
              </v:shapetype>
              <v:shape id="Text Box 73" o:spid="_x0000_s1026" type="#_x0000_t202" style="position:absolute;margin-left:0;margin-top:120.55pt;width:511.35pt;height:5in;z-index:251660800;visibility:visible;mso-wrap-style:square;mso-width-percent:0;mso-height-percent:0;mso-wrap-distance-left:14.4pt;mso-wrap-distance-top:0;mso-wrap-distance-right:14.4pt;mso-wrap-distance-bottom:0;mso-position-horizontal:center;mso-position-horizontal-relative:margin;mso-position-vertical:absolute;mso-position-vertical-relative:page;mso-width-percent:0;mso-height-percent:0;mso-width-relative:margin;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" filled="f" stroked="f" strokeweight=".5pt">
                <v:textbox inset="0,0,0,0">
                  <w:txbxContent>
                    <w:p w:rsidR="00234602" w:rsidRPr="009D7FE5" w:rsidRDefault="00360C07" w:rsidP="0064549A">
                      <w:pPr>
                        <w:spacing w:before="26" w:after="371"/>
                        <w:rPr>
                          <w:rFonts w:ascii="Century Gothic" w:hAnsi="Century Gothic"/>
                          <w:b/>
                          <w:color w:val="FFFFFF" w:themeColor="background1"/>
                          <w:sz w:val="48"/>
                          <w:szCs w:val="48"/>
                        </w:rPr>
                      </w:pPr>
                      <w:sdt>
                        <w:sdtPr>
                          <w:rPr>
                            <w:rFonts w:ascii="Century Gothic" w:hAnsi="Century Gothic"/>
                            <w:b/>
                            <w:color w:val="FFFFFF" w:themeColor="background1"/>
                            <w:sz w:val="48"/>
                            <w:szCs w:val="48"/>
                          </w:rPr>
                          <w:alias w:val="Document Heading"/>
                          <w:tag w:val="DH"/>
                          <w:id w:val="-1577504962"/>
                          <w:dataBinding w:xpath="/root[1]/DH[1]" w:storeItemID="{F533AE62-A212-4B26-92DA-A3B336E8AE06}"/>
                          <w:text w:multiLine="1"/>
                        </w:sdtPr>
                        <w:sdtEndPr/>
                        <w:sdtContent>
                          <w:r w:rsidR="00234602">
                            <w:rPr>
                              <w:rFonts w:ascii="Century Gothic" w:hAnsi="Century Gothic"/>
                              <w:b/>
                              <w:color w:val="FFFFFF" w:themeColor="background1"/>
                              <w:sz w:val="48"/>
                              <w:szCs w:val="48"/>
                            </w:rPr>
                            <w:t xml:space="preserve"> Data Availability and Transparency Bill 2020</w:t>
                          </w:r>
                          <w:r w:rsidR="00234602">
                            <w:rPr>
                              <w:rFonts w:ascii="Century Gothic" w:hAnsi="Century Gothic"/>
                              <w:b/>
                              <w:color w:val="FFFFFF" w:themeColor="background1"/>
                              <w:sz w:val="48"/>
                              <w:szCs w:val="48"/>
                            </w:rPr>
                            <w:br/>
                            <w:t xml:space="preserve"> Exposure Draft</w:t>
                          </w:r>
                        </w:sdtContent>
                      </w:sdt>
                    </w:p>
                    <w:p w:rsidR="00234602" w:rsidRDefault="00234602" w:rsidP="0064549A">
                      <w:pPr>
                        <w:pStyle w:val="Footer"/>
                        <w:spacing w:after="238"/>
                        <w:rPr>
                          <w:rFonts w:ascii="Century Gothic" w:hAnsi="Century Gothic"/>
                          <w:color w:val="FFFFFF" w:themeColor="background1"/>
                          <w:sz w:val="44"/>
                        </w:rPr>
                      </w:pPr>
                      <w:r w:rsidRPr="009D7FE5">
                        <w:rPr>
                          <w:rFonts w:ascii="Century Gothic" w:hAnsi="Century Gothic"/>
                          <w:color w:val="FFFFFF" w:themeColor="background1"/>
                          <w:sz w:val="44"/>
                        </w:rPr>
                        <w:t>Consultation Paper</w:t>
                      </w:r>
                      <w:r>
                        <w:rPr>
                          <w:rFonts w:ascii="Century Gothic" w:hAnsi="Century Gothic"/>
                          <w:color w:val="FFFFFF" w:themeColor="background1"/>
                          <w:sz w:val="44"/>
                        </w:rPr>
                        <w:t xml:space="preserve">  </w:t>
                      </w:r>
                    </w:p>
                    <w:p w:rsidR="00234602" w:rsidRPr="009D7FE5" w:rsidRDefault="00234602" w:rsidP="0064549A">
                      <w:pPr>
                        <w:pStyle w:val="Footer"/>
                        <w:spacing w:after="238"/>
                        <w:rPr>
                          <w:rFonts w:ascii="Century Gothic" w:hAnsi="Century Gothic"/>
                          <w:color w:val="FFFFFF" w:themeColor="background1"/>
                          <w:sz w:val="44"/>
                        </w:rPr>
                      </w:pPr>
                      <w:r>
                        <w:rPr>
                          <w:rFonts w:ascii="Century Gothic" w:hAnsi="Century Gothic"/>
                          <w:color w:val="FFFFFF" w:themeColor="background1"/>
                          <w:sz w:val="44"/>
                        </w:rPr>
                        <w:t>September 2020</w:t>
                      </w:r>
                    </w:p>
                  </w:txbxContent>
                </v:textbox>
                <w10:wrap type="square" anchorx="margin" anchory="page"/>
                <w10:anchorlock/>
              </v:shape>
            </w:pict>
          </mc:Fallback>
        </mc:AlternateContent>
      </w:r>
      <w:r w:rsidR="0064549A" w:rsidRPr="007660B9">
        <w:rPr>
          <w:noProof/>
          <w:lang w:eastAsia="en-AU"/>
        </w:rPr>
        <mc:AlternateContent>
          <mc:Choice Requires="wps">
            <w:drawing>
              <wp:anchor distT="0" distB="0" distL="114300" distR="114300" simplePos="0" relativeHeight="251653632" behindDoc="1" locked="1" layoutInCell="1" allowOverlap="1" wp14:anchorId="1EF85140" wp14:editId="55CD3A6B">
                <wp:simplePos x="0" y="0"/>
                <wp:positionH relativeFrom="page">
                  <wp:posOffset>137160</wp:posOffset>
                </wp:positionH>
                <wp:positionV relativeFrom="page">
                  <wp:posOffset>188595</wp:posOffset>
                </wp:positionV>
                <wp:extent cx="7141210" cy="10278745"/>
                <wp:effectExtent l="0" t="0" r="2540" b="8255"/>
                <wp:wrapNone/>
                <wp:docPr id="74" name="Rectangle 74"/>
                <wp:cNvGraphicFramePr/>
                <a:graphic xmlns:a="http://schemas.openxmlformats.org/drawingml/2006/main">
                  <a:graphicData uri="http://schemas.microsoft.com/office/word/2010/wordprocessingShape">
                    <wps:wsp>
                      <wps:cNvSpPr/>
                      <wps:spPr>
                        <a:xfrm>
                          <a:off x="0" y="0"/>
                          <a:ext cx="7141210" cy="10278745"/>
                        </a:xfrm>
                        <a:prstGeom prst="rect">
                          <a:avLst/>
                        </a:prstGeom>
                        <a:gradFill>
                          <a:gsLst>
                            <a:gs pos="0">
                              <a:srgbClr val="014463"/>
                            </a:gs>
                            <a:gs pos="100000">
                              <a:srgbClr val="25303B"/>
                            </a:gs>
                          </a:gsLst>
                          <a:lin ang="0" scaled="0"/>
                        </a:gra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F915DE" id="Rectangle 74" o:spid="_x0000_s1026" style="position:absolute;margin-left:10.8pt;margin-top:14.85pt;width:562.3pt;height:809.3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" fillcolor="#014463" stroked="f" strokeweight="1pt">
                <v:fill color2="#25303b" angle="90" focus="100%" type="gradient">
                  <o:fill v:ext="view" type="gradientUnscaled"/>
                </v:fill>
                <w10:wrap anchorx="page" anchory="page"/>
                <w10:anchorlock/>
              </v:rect>
            </w:pict>
          </mc:Fallback>
        </mc:AlternateContent>
      </w:r>
      <w:r w:rsidR="0064549A">
        <w:rPr>
          <w:rFonts w:ascii="Montserrat Semi Bold" w:hAnsi="Montserrat Semi Bold"/>
          <w:smallCaps/>
          <w:color w:val="087379"/>
          <w:sz w:val="28"/>
        </w:rPr>
        <w:br w:type="page"/>
      </w:r>
    </w:p>
    <w:p w:rsidR="00823EBD" w:rsidRDefault="00823EBD" w:rsidP="00646A4D"/>
    <w:p w:rsidR="00823EBD" w:rsidRDefault="00823EBD" w:rsidP="00646A4D"/>
    <w:p w:rsidR="00823EBD" w:rsidRDefault="00823EBD" w:rsidP="00646A4D"/>
    <w:p w:rsidR="00823EBD" w:rsidRDefault="00823EBD" w:rsidP="00646A4D"/>
    <w:p w:rsidR="00823EBD" w:rsidRDefault="00823EBD" w:rsidP="00646A4D"/>
    <w:p w:rsidR="00823EBD" w:rsidRDefault="00823EBD" w:rsidP="00646A4D"/>
    <w:p w:rsidR="00823EBD" w:rsidRDefault="00823EBD" w:rsidP="00646A4D"/>
    <w:p w:rsidR="00823EBD" w:rsidRDefault="00823EBD" w:rsidP="00646A4D"/>
    <w:p w:rsidR="00823EBD" w:rsidRDefault="00823EBD" w:rsidP="00646A4D"/>
    <w:p w:rsidR="00823EBD" w:rsidRDefault="00823EBD" w:rsidP="00646A4D"/>
    <w:p w:rsidR="00823EBD" w:rsidRDefault="00823EBD" w:rsidP="00646A4D"/>
    <w:p w:rsidR="00823EBD" w:rsidRDefault="00823EBD" w:rsidP="00646A4D"/>
    <w:p w:rsidR="00823EBD" w:rsidRDefault="00823EBD" w:rsidP="00646A4D"/>
    <w:p w:rsidR="00823EBD" w:rsidRDefault="00823EBD" w:rsidP="00646A4D"/>
    <w:p w:rsidR="00823EBD" w:rsidRDefault="00823EBD" w:rsidP="00646A4D"/>
    <w:p w:rsidR="00823EBD" w:rsidRDefault="00823EBD" w:rsidP="00646A4D"/>
    <w:p w:rsidR="00823EBD" w:rsidRPr="004A0F17" w:rsidRDefault="00823EBD" w:rsidP="00823EBD">
      <w:pPr>
        <w:autoSpaceDE w:val="0"/>
        <w:autoSpaceDN w:val="0"/>
        <w:adjustRightInd w:val="0"/>
        <w:spacing w:before="100" w:after="0" w:line="221" w:lineRule="atLeast"/>
        <w:rPr>
          <w:rFonts w:ascii="Calibri" w:hAnsi="Calibri" w:cs="Calibri"/>
          <w:sz w:val="18"/>
          <w:szCs w:val="18"/>
        </w:rPr>
      </w:pPr>
      <w:r w:rsidRPr="004A0F17">
        <w:rPr>
          <w:rFonts w:ascii="Calibri" w:hAnsi="Calibri" w:cs="Calibri"/>
          <w:b/>
          <w:bCs/>
          <w:sz w:val="18"/>
          <w:szCs w:val="18"/>
        </w:rPr>
        <w:t xml:space="preserve">Data </w:t>
      </w:r>
      <w:r>
        <w:rPr>
          <w:rFonts w:ascii="Calibri" w:hAnsi="Calibri" w:cs="Calibri"/>
          <w:b/>
          <w:bCs/>
          <w:sz w:val="18"/>
          <w:szCs w:val="18"/>
        </w:rPr>
        <w:t xml:space="preserve">Availability and Transparency Bill </w:t>
      </w:r>
      <w:r w:rsidR="00374639">
        <w:rPr>
          <w:rFonts w:ascii="Calibri" w:hAnsi="Calibri" w:cs="Calibri"/>
          <w:b/>
          <w:bCs/>
          <w:sz w:val="18"/>
          <w:szCs w:val="18"/>
        </w:rPr>
        <w:t>2020</w:t>
      </w:r>
      <w:r>
        <w:rPr>
          <w:rFonts w:ascii="Calibri" w:hAnsi="Calibri" w:cs="Calibri"/>
          <w:b/>
          <w:bCs/>
          <w:sz w:val="18"/>
          <w:szCs w:val="18"/>
        </w:rPr>
        <w:t xml:space="preserve"> Exposure Draft Consultation Paper</w:t>
      </w:r>
    </w:p>
    <w:p w:rsidR="00823EBD" w:rsidRPr="004A0F17" w:rsidRDefault="00823EBD" w:rsidP="00823EBD">
      <w:pPr>
        <w:autoSpaceDE w:val="0"/>
        <w:autoSpaceDN w:val="0"/>
        <w:adjustRightInd w:val="0"/>
        <w:spacing w:before="100" w:after="0" w:line="221" w:lineRule="atLeast"/>
        <w:rPr>
          <w:rFonts w:ascii="Calibri" w:hAnsi="Calibri" w:cs="Calibri"/>
          <w:sz w:val="18"/>
          <w:szCs w:val="18"/>
        </w:rPr>
      </w:pPr>
      <w:r w:rsidRPr="004A0F17">
        <w:rPr>
          <w:rFonts w:ascii="Calibri" w:hAnsi="Calibri" w:cs="Calibri"/>
          <w:sz w:val="18"/>
          <w:szCs w:val="18"/>
        </w:rPr>
        <w:t>©</w:t>
      </w:r>
      <w:r>
        <w:rPr>
          <w:rFonts w:ascii="Calibri" w:hAnsi="Calibri" w:cs="Calibri"/>
          <w:sz w:val="18"/>
          <w:szCs w:val="18"/>
        </w:rPr>
        <w:t xml:space="preserve"> Commonwealth of Australia 2020</w:t>
      </w:r>
    </w:p>
    <w:p w:rsidR="00823EBD" w:rsidRPr="004A0F17" w:rsidRDefault="00823EBD" w:rsidP="00823EBD">
      <w:pPr>
        <w:autoSpaceDE w:val="0"/>
        <w:autoSpaceDN w:val="0"/>
        <w:adjustRightInd w:val="0"/>
        <w:spacing w:before="220" w:after="0" w:line="221" w:lineRule="atLeast"/>
        <w:rPr>
          <w:rFonts w:ascii="Calibri" w:hAnsi="Calibri" w:cs="Calibri"/>
          <w:sz w:val="18"/>
          <w:szCs w:val="18"/>
        </w:rPr>
      </w:pPr>
      <w:r w:rsidRPr="004A0F17">
        <w:rPr>
          <w:rFonts w:ascii="Calibri" w:hAnsi="Calibri" w:cs="Calibri"/>
          <w:b/>
          <w:bCs/>
          <w:sz w:val="18"/>
          <w:szCs w:val="18"/>
        </w:rPr>
        <w:t xml:space="preserve">Copyright Notice </w:t>
      </w:r>
    </w:p>
    <w:p w:rsidR="00823EBD" w:rsidRPr="004A0F17" w:rsidRDefault="00823EBD" w:rsidP="00823EBD">
      <w:pPr>
        <w:autoSpaceDE w:val="0"/>
        <w:autoSpaceDN w:val="0"/>
        <w:adjustRightInd w:val="0"/>
        <w:spacing w:before="220" w:after="0" w:line="221" w:lineRule="atLeast"/>
        <w:rPr>
          <w:rFonts w:ascii="Calibri" w:hAnsi="Calibri" w:cs="Calibri"/>
          <w:sz w:val="18"/>
          <w:szCs w:val="18"/>
        </w:rPr>
      </w:pPr>
      <w:r w:rsidRPr="004A0F17">
        <w:rPr>
          <w:rFonts w:ascii="Calibri" w:hAnsi="Calibri" w:cs="Calibri"/>
          <w:sz w:val="18"/>
          <w:szCs w:val="18"/>
        </w:rPr>
        <w:t xml:space="preserve">With the exception of the Commonwealth Coat of Arms, this work is licensed under a Creative Commons Attribution 4.0 International licence (CC BY 4.0)(https://creativecommons.org/licenses/by/4.0/). </w:t>
      </w:r>
    </w:p>
    <w:p w:rsidR="00823EBD" w:rsidRPr="004A0F17" w:rsidRDefault="00823EBD" w:rsidP="00823EBD">
      <w:pPr>
        <w:autoSpaceDE w:val="0"/>
        <w:autoSpaceDN w:val="0"/>
        <w:adjustRightInd w:val="0"/>
        <w:spacing w:before="220" w:after="0" w:line="221" w:lineRule="atLeast"/>
        <w:rPr>
          <w:rFonts w:ascii="Calibri" w:hAnsi="Calibri" w:cs="Calibri"/>
          <w:sz w:val="18"/>
          <w:szCs w:val="18"/>
        </w:rPr>
      </w:pPr>
      <w:r w:rsidRPr="004A0F17">
        <w:rPr>
          <w:rFonts w:ascii="Calibri" w:hAnsi="Calibri" w:cs="Calibri"/>
          <w:b/>
          <w:bCs/>
          <w:sz w:val="18"/>
          <w:szCs w:val="18"/>
        </w:rPr>
        <w:t xml:space="preserve">Third party copyright </w:t>
      </w:r>
    </w:p>
    <w:p w:rsidR="00823EBD" w:rsidRPr="004A0F17" w:rsidRDefault="00823EBD" w:rsidP="00823EBD">
      <w:pPr>
        <w:autoSpaceDE w:val="0"/>
        <w:autoSpaceDN w:val="0"/>
        <w:adjustRightInd w:val="0"/>
        <w:spacing w:before="40" w:after="0" w:line="221" w:lineRule="atLeast"/>
        <w:rPr>
          <w:rFonts w:ascii="Calibri" w:hAnsi="Calibri" w:cs="Calibri"/>
          <w:sz w:val="18"/>
          <w:szCs w:val="18"/>
        </w:rPr>
      </w:pPr>
      <w:r w:rsidRPr="004A0F17">
        <w:rPr>
          <w:rFonts w:ascii="Calibri" w:hAnsi="Calibri" w:cs="Calibri"/>
          <w:sz w:val="18"/>
          <w:szCs w:val="18"/>
        </w:rPr>
        <w:t xml:space="preserve">Wherever a third party holds copyright in this material, the copyright remains with that party. Their permission may be required to use the material. Please contact them directly. </w:t>
      </w:r>
    </w:p>
    <w:p w:rsidR="00823EBD" w:rsidRPr="004A0F17" w:rsidRDefault="00823EBD" w:rsidP="00823EBD">
      <w:pPr>
        <w:autoSpaceDE w:val="0"/>
        <w:autoSpaceDN w:val="0"/>
        <w:adjustRightInd w:val="0"/>
        <w:spacing w:before="220" w:after="0" w:line="221" w:lineRule="atLeast"/>
        <w:rPr>
          <w:rFonts w:ascii="Calibri" w:hAnsi="Calibri" w:cs="Calibri"/>
          <w:sz w:val="18"/>
          <w:szCs w:val="18"/>
        </w:rPr>
      </w:pPr>
      <w:r w:rsidRPr="004A0F17">
        <w:rPr>
          <w:rFonts w:ascii="Calibri" w:hAnsi="Calibri" w:cs="Calibri"/>
          <w:b/>
          <w:bCs/>
          <w:sz w:val="18"/>
          <w:szCs w:val="18"/>
        </w:rPr>
        <w:t xml:space="preserve">Attribution </w:t>
      </w:r>
    </w:p>
    <w:p w:rsidR="00823EBD" w:rsidRPr="004A0F17" w:rsidRDefault="00823EBD" w:rsidP="00823EBD">
      <w:pPr>
        <w:autoSpaceDE w:val="0"/>
        <w:autoSpaceDN w:val="0"/>
        <w:adjustRightInd w:val="0"/>
        <w:spacing w:before="40" w:after="0" w:line="221" w:lineRule="atLeast"/>
        <w:rPr>
          <w:rFonts w:ascii="Calibri" w:hAnsi="Calibri" w:cs="Calibri"/>
          <w:sz w:val="18"/>
          <w:szCs w:val="18"/>
        </w:rPr>
      </w:pPr>
      <w:r w:rsidRPr="004A0F17">
        <w:rPr>
          <w:rFonts w:ascii="Calibri" w:hAnsi="Calibri" w:cs="Calibri"/>
          <w:sz w:val="18"/>
          <w:szCs w:val="18"/>
        </w:rPr>
        <w:t xml:space="preserve">This publication should be attributed as follows: </w:t>
      </w:r>
    </w:p>
    <w:p w:rsidR="00823EBD" w:rsidRPr="00875B52" w:rsidRDefault="00823EBD" w:rsidP="00823EBD">
      <w:pPr>
        <w:autoSpaceDE w:val="0"/>
        <w:autoSpaceDN w:val="0"/>
        <w:adjustRightInd w:val="0"/>
        <w:spacing w:before="40" w:after="0" w:line="221" w:lineRule="atLeast"/>
        <w:rPr>
          <w:rFonts w:ascii="Calibri" w:hAnsi="Calibri" w:cs="Calibri"/>
          <w:i/>
          <w:iCs/>
          <w:sz w:val="18"/>
          <w:szCs w:val="18"/>
        </w:rPr>
      </w:pPr>
      <w:r w:rsidRPr="004A0F17">
        <w:rPr>
          <w:rFonts w:ascii="Calibri" w:hAnsi="Calibri" w:cs="Calibri"/>
          <w:sz w:val="18"/>
          <w:szCs w:val="18"/>
        </w:rPr>
        <w:t xml:space="preserve">© Commonwealth of Australia, Department of the Prime Minister and Cabinet, </w:t>
      </w:r>
      <w:r w:rsidRPr="004A0F17">
        <w:rPr>
          <w:rFonts w:ascii="Calibri" w:hAnsi="Calibri" w:cs="Calibri"/>
          <w:i/>
          <w:iCs/>
          <w:sz w:val="18"/>
          <w:szCs w:val="18"/>
        </w:rPr>
        <w:t>Data</w:t>
      </w:r>
      <w:r w:rsidRPr="00875B52">
        <w:rPr>
          <w:rFonts w:ascii="Calibri" w:hAnsi="Calibri" w:cs="Calibri"/>
          <w:i/>
          <w:iCs/>
          <w:sz w:val="18"/>
          <w:szCs w:val="18"/>
        </w:rPr>
        <w:t xml:space="preserve"> Availability and Transparency</w:t>
      </w:r>
      <w:r>
        <w:rPr>
          <w:rFonts w:ascii="Calibri" w:hAnsi="Calibri" w:cs="Calibri"/>
          <w:i/>
          <w:iCs/>
          <w:sz w:val="18"/>
          <w:szCs w:val="18"/>
        </w:rPr>
        <w:t xml:space="preserve"> Bill </w:t>
      </w:r>
      <w:r w:rsidR="00805C01">
        <w:rPr>
          <w:rFonts w:ascii="Calibri" w:hAnsi="Calibri" w:cs="Calibri"/>
          <w:i/>
          <w:iCs/>
          <w:sz w:val="18"/>
          <w:szCs w:val="18"/>
        </w:rPr>
        <w:t xml:space="preserve">2020 </w:t>
      </w:r>
      <w:r w:rsidR="00246CA9">
        <w:rPr>
          <w:rFonts w:ascii="Calibri" w:hAnsi="Calibri" w:cs="Calibri"/>
          <w:i/>
          <w:iCs/>
          <w:sz w:val="18"/>
          <w:szCs w:val="18"/>
        </w:rPr>
        <w:t xml:space="preserve">Exposure Draft </w:t>
      </w:r>
      <w:r>
        <w:rPr>
          <w:rFonts w:ascii="Calibri" w:hAnsi="Calibri" w:cs="Calibri"/>
          <w:i/>
          <w:iCs/>
          <w:sz w:val="18"/>
          <w:szCs w:val="18"/>
        </w:rPr>
        <w:t xml:space="preserve">Consultation </w:t>
      </w:r>
      <w:r w:rsidRPr="00875B52">
        <w:rPr>
          <w:rFonts w:ascii="Calibri" w:hAnsi="Calibri" w:cs="Calibri"/>
          <w:i/>
          <w:iCs/>
          <w:sz w:val="18"/>
          <w:szCs w:val="18"/>
        </w:rPr>
        <w:t>Paper</w:t>
      </w:r>
      <w:r w:rsidRPr="004A0F17">
        <w:rPr>
          <w:rFonts w:ascii="Calibri" w:hAnsi="Calibri" w:cs="Calibri"/>
          <w:i/>
          <w:iCs/>
          <w:sz w:val="18"/>
          <w:szCs w:val="18"/>
        </w:rPr>
        <w:t xml:space="preserve"> </w:t>
      </w:r>
    </w:p>
    <w:p w:rsidR="00823EBD" w:rsidRPr="004A0F17" w:rsidRDefault="00823EBD" w:rsidP="00823EBD">
      <w:pPr>
        <w:autoSpaceDE w:val="0"/>
        <w:autoSpaceDN w:val="0"/>
        <w:adjustRightInd w:val="0"/>
        <w:spacing w:before="220" w:after="0" w:line="221" w:lineRule="atLeast"/>
        <w:rPr>
          <w:rFonts w:ascii="Calibri" w:hAnsi="Calibri" w:cs="Calibri"/>
          <w:sz w:val="18"/>
          <w:szCs w:val="18"/>
        </w:rPr>
      </w:pPr>
      <w:r w:rsidRPr="004A0F17">
        <w:rPr>
          <w:rFonts w:ascii="Calibri" w:hAnsi="Calibri" w:cs="Calibri"/>
          <w:b/>
          <w:bCs/>
          <w:sz w:val="18"/>
          <w:szCs w:val="18"/>
        </w:rPr>
        <w:t xml:space="preserve">Use of the Coat of Arms </w:t>
      </w:r>
    </w:p>
    <w:p w:rsidR="00823EBD" w:rsidRPr="004A0F17" w:rsidRDefault="00823EBD" w:rsidP="00823EBD">
      <w:pPr>
        <w:autoSpaceDE w:val="0"/>
        <w:autoSpaceDN w:val="0"/>
        <w:adjustRightInd w:val="0"/>
        <w:spacing w:before="40" w:after="0" w:line="221" w:lineRule="atLeast"/>
        <w:rPr>
          <w:rFonts w:ascii="Calibri" w:hAnsi="Calibri" w:cs="Calibri"/>
          <w:sz w:val="18"/>
          <w:szCs w:val="18"/>
        </w:rPr>
      </w:pPr>
      <w:r w:rsidRPr="004A0F17">
        <w:rPr>
          <w:rFonts w:ascii="Calibri" w:hAnsi="Calibri" w:cs="Calibri"/>
          <w:sz w:val="18"/>
          <w:szCs w:val="18"/>
        </w:rPr>
        <w:t xml:space="preserve">The terms under which the Coat of Arms can be used are detailed on the following website: </w:t>
      </w:r>
    </w:p>
    <w:p w:rsidR="00823EBD" w:rsidRPr="004A0F17" w:rsidRDefault="00823EBD" w:rsidP="00823EBD">
      <w:pPr>
        <w:autoSpaceDE w:val="0"/>
        <w:autoSpaceDN w:val="0"/>
        <w:adjustRightInd w:val="0"/>
        <w:spacing w:before="40" w:after="0" w:line="221" w:lineRule="atLeast"/>
        <w:rPr>
          <w:rFonts w:ascii="Calibri" w:hAnsi="Calibri" w:cs="Calibri"/>
          <w:sz w:val="18"/>
          <w:szCs w:val="18"/>
        </w:rPr>
      </w:pPr>
      <w:r w:rsidRPr="004A0F17">
        <w:rPr>
          <w:rFonts w:ascii="Calibri" w:hAnsi="Calibri" w:cs="Calibri"/>
          <w:sz w:val="18"/>
          <w:szCs w:val="18"/>
        </w:rPr>
        <w:t xml:space="preserve">https://www.pmc.gov.au/government/commonwealth-coat-arms </w:t>
      </w:r>
    </w:p>
    <w:p w:rsidR="00823EBD" w:rsidRPr="004A0F17" w:rsidRDefault="00823EBD" w:rsidP="00823EBD">
      <w:pPr>
        <w:autoSpaceDE w:val="0"/>
        <w:autoSpaceDN w:val="0"/>
        <w:adjustRightInd w:val="0"/>
        <w:spacing w:before="220" w:after="0" w:line="221" w:lineRule="atLeast"/>
        <w:rPr>
          <w:rFonts w:ascii="Calibri" w:hAnsi="Calibri" w:cs="Calibri"/>
          <w:sz w:val="18"/>
          <w:szCs w:val="18"/>
        </w:rPr>
      </w:pPr>
      <w:r w:rsidRPr="004A0F17">
        <w:rPr>
          <w:rFonts w:ascii="Calibri" w:hAnsi="Calibri" w:cs="Calibri"/>
          <w:b/>
          <w:bCs/>
          <w:sz w:val="18"/>
          <w:szCs w:val="18"/>
        </w:rPr>
        <w:lastRenderedPageBreak/>
        <w:t xml:space="preserve">Other uses </w:t>
      </w:r>
    </w:p>
    <w:p w:rsidR="00805C01" w:rsidRDefault="00823EBD" w:rsidP="00805C01">
      <w:pPr>
        <w:spacing w:after="160" w:line="259" w:lineRule="auto"/>
        <w:rPr>
          <w:rFonts w:ascii="Calibri" w:hAnsi="Calibri" w:cs="Calibri"/>
          <w:sz w:val="18"/>
          <w:szCs w:val="18"/>
        </w:rPr>
      </w:pPr>
      <w:r w:rsidRPr="004A0F17">
        <w:rPr>
          <w:rFonts w:ascii="Calibri" w:hAnsi="Calibri" w:cs="Calibri"/>
          <w:sz w:val="18"/>
          <w:szCs w:val="18"/>
        </w:rPr>
        <w:t xml:space="preserve">Enquiries regarding this document are welcome at: </w:t>
      </w:r>
    </w:p>
    <w:p w:rsidR="00805C01" w:rsidRPr="001E078C" w:rsidRDefault="00C51B53" w:rsidP="00805C01">
      <w:pPr>
        <w:spacing w:after="160" w:line="259" w:lineRule="auto"/>
        <w:rPr>
          <w:rFonts w:ascii="Calibri" w:hAnsi="Calibri" w:cs="Calibri"/>
          <w:sz w:val="18"/>
          <w:szCs w:val="18"/>
        </w:rPr>
      </w:pPr>
      <w:hyperlink r:id="rId12" w:history="1">
        <w:r w:rsidR="00805C01" w:rsidRPr="001E078C">
          <w:rPr>
            <w:rFonts w:ascii="Calibri" w:hAnsi="Calibri" w:cs="Calibri"/>
            <w:sz w:val="18"/>
            <w:szCs w:val="18"/>
          </w:rPr>
          <w:t>https://www.datacommissioner.gov.au/form/contact</w:t>
        </w:r>
      </w:hyperlink>
      <w:r w:rsidR="00805C01">
        <w:rPr>
          <w:rFonts w:ascii="Calibri" w:hAnsi="Calibri" w:cs="Calibri"/>
          <w:sz w:val="18"/>
          <w:szCs w:val="18"/>
        </w:rPr>
        <w:t xml:space="preserve"> </w:t>
      </w:r>
    </w:p>
    <w:p w:rsidR="00805C01" w:rsidRPr="006E6F44" w:rsidRDefault="00805C01" w:rsidP="00805C01">
      <w:pPr>
        <w:pStyle w:val="Heading1"/>
      </w:pPr>
      <w:bookmarkStart w:id="17" w:name="_Toc50909428"/>
      <w:r w:rsidRPr="006E6F44">
        <w:t>Minister’s Foreword</w:t>
      </w:r>
      <w:bookmarkEnd w:id="17"/>
    </w:p>
    <w:p w:rsidR="005C5125" w:rsidRDefault="005C5125" w:rsidP="005C5125">
      <w:pPr>
        <w:spacing w:after="160" w:line="256" w:lineRule="auto"/>
        <w:contextualSpacing/>
        <w:rPr>
          <w:lang w:eastAsia="en-AU"/>
        </w:rPr>
      </w:pPr>
      <w:r>
        <w:rPr>
          <w:lang w:eastAsia="en-AU"/>
        </w:rPr>
        <w:t xml:space="preserve">If the Australian Government is ever to live up to the expectations of Australians and realise the full potential of its public service, it must make better use of the data it already holds. The promise of digital government is built on better use of data. Data informs decisions makers by ensuring they make better decisions. Data improves service delivery by removing unnecessary friction and pain points. Data is critical to deliver public services that meet the expectations of Australians and equally essential for building a stronger, more prosperous country. </w:t>
      </w:r>
    </w:p>
    <w:p w:rsidR="005C5125" w:rsidRDefault="005C5125" w:rsidP="005C5125">
      <w:pPr>
        <w:spacing w:after="160" w:line="256" w:lineRule="auto"/>
        <w:contextualSpacing/>
        <w:rPr>
          <w:lang w:eastAsia="en-AU"/>
        </w:rPr>
      </w:pPr>
    </w:p>
    <w:p w:rsidR="005C5125" w:rsidRDefault="005C5125" w:rsidP="005C5125">
      <w:pPr>
        <w:spacing w:after="160" w:line="256" w:lineRule="auto"/>
        <w:contextualSpacing/>
        <w:rPr>
          <w:lang w:eastAsia="en-AU"/>
        </w:rPr>
      </w:pPr>
      <w:r>
        <w:rPr>
          <w:lang w:eastAsia="en-AU"/>
        </w:rPr>
        <w:t>Data and digital technology has been fundamental to the Australian Government’s response to the ongoing COVID-19 pandemic and the 2019-2020 bushfire crisis. Navigating these challenges has forced government to adapt and respond</w:t>
      </w:r>
      <w:r>
        <w:rPr>
          <w:lang w:eastAsia="en-AU"/>
        </w:rPr>
        <w:softHyphen/>
        <w:t>. Data has played a key role in determining the size, scope and scale of responses. Whether accessing services wholly online instead of queuing at a Centrelink or using facial verification technology to quickly provide disaster payments to Australians who have lost everything in bushfire affected areas, data has been crucial for getting support to those who have needed it.</w:t>
      </w:r>
    </w:p>
    <w:p w:rsidR="005C5125" w:rsidRDefault="005C5125" w:rsidP="005C5125">
      <w:pPr>
        <w:spacing w:after="160" w:line="256" w:lineRule="auto"/>
        <w:contextualSpacing/>
        <w:rPr>
          <w:lang w:eastAsia="en-AU"/>
        </w:rPr>
      </w:pPr>
    </w:p>
    <w:p w:rsidR="005C5125" w:rsidRDefault="005C5125" w:rsidP="005C5125">
      <w:pPr>
        <w:spacing w:after="160" w:line="256" w:lineRule="auto"/>
        <w:contextualSpacing/>
        <w:rPr>
          <w:lang w:eastAsia="en-AU"/>
        </w:rPr>
      </w:pPr>
      <w:r>
        <w:rPr>
          <w:lang w:eastAsia="en-AU"/>
        </w:rPr>
        <w:t>Now more than ever, it is clear that we need to get better at using the information we already collect, instead of asking the same questions again and again. For too long, there has been a lack of a consistent and clear framework for making good use of data. We need to make sure the information the government collects and holds can be accessed in a safe and timely way to respond to the needs of Australians. We need to accelerate this Government’s commitment to creating a seamless digital experience for the Australian public, now and into the future.</w:t>
      </w:r>
    </w:p>
    <w:p w:rsidR="005C5125" w:rsidRDefault="005C5125" w:rsidP="005C5125">
      <w:pPr>
        <w:spacing w:after="160" w:line="256" w:lineRule="auto"/>
        <w:contextualSpacing/>
        <w:rPr>
          <w:lang w:eastAsia="en-AU"/>
        </w:rPr>
      </w:pPr>
    </w:p>
    <w:p w:rsidR="005C5125" w:rsidRDefault="005C5125" w:rsidP="005C5125">
      <w:pPr>
        <w:spacing w:after="160" w:line="256" w:lineRule="auto"/>
        <w:contextualSpacing/>
        <w:rPr>
          <w:lang w:eastAsia="en-AU"/>
        </w:rPr>
      </w:pPr>
      <w:r>
        <w:rPr>
          <w:lang w:eastAsia="en-AU"/>
        </w:rPr>
        <w:t xml:space="preserve">I am confident that the Exposure Draft of the Data Availability and Transparency Bill 2020 provides a strong foundation to enable this seamless experience. </w:t>
      </w:r>
    </w:p>
    <w:p w:rsidR="005C5125" w:rsidRDefault="005C5125" w:rsidP="005C5125">
      <w:pPr>
        <w:spacing w:after="160" w:line="256" w:lineRule="auto"/>
        <w:contextualSpacing/>
        <w:rPr>
          <w:lang w:eastAsia="en-AU"/>
        </w:rPr>
      </w:pPr>
    </w:p>
    <w:p w:rsidR="005C5125" w:rsidRDefault="005C5125" w:rsidP="005C5125">
      <w:pPr>
        <w:spacing w:after="160" w:line="256" w:lineRule="auto"/>
        <w:contextualSpacing/>
        <w:rPr>
          <w:lang w:eastAsia="en-AU"/>
        </w:rPr>
      </w:pPr>
      <w:r>
        <w:rPr>
          <w:lang w:eastAsia="en-AU"/>
        </w:rPr>
        <w:t xml:space="preserve">Over the past two years, the Australian Government has continued to actively engage with the public to seek views on this Bill and its policies. We have listened and learned from your experiences to ensure data is used for the right reasons and in ways that deliver public benefit. We remain committed to ensuring the Bill is developed in way that </w:t>
      </w:r>
      <w:r w:rsidRPr="00EA63A3">
        <w:rPr>
          <w:lang w:eastAsia="en-AU"/>
        </w:rPr>
        <w:t>respects</w:t>
      </w:r>
      <w:r>
        <w:rPr>
          <w:lang w:eastAsia="en-AU"/>
        </w:rPr>
        <w:t xml:space="preserve"> the needs and perspectives of many in the community, including the research community, the not-for profit sector, businesses and the public.</w:t>
      </w:r>
    </w:p>
    <w:p w:rsidR="005C5125" w:rsidRDefault="005C5125" w:rsidP="005C5125">
      <w:pPr>
        <w:spacing w:after="160" w:line="256" w:lineRule="auto"/>
        <w:contextualSpacing/>
        <w:rPr>
          <w:lang w:eastAsia="en-AU"/>
        </w:rPr>
      </w:pPr>
    </w:p>
    <w:p w:rsidR="005C5125" w:rsidRDefault="005C5125" w:rsidP="005C5125">
      <w:pPr>
        <w:spacing w:after="160" w:line="256" w:lineRule="auto"/>
        <w:contextualSpacing/>
        <w:rPr>
          <w:lang w:eastAsia="en-AU"/>
        </w:rPr>
      </w:pPr>
      <w:r>
        <w:rPr>
          <w:lang w:eastAsia="en-AU"/>
        </w:rPr>
        <w:t xml:space="preserve">Transparency and accountability are strong features of this Bill. It is important citizens know how the Government uses data and what safeguards protect data when it is shared. It is also important that there is strong oversight of the way government data is shared and used. The Bill will establish this oversight and </w:t>
      </w:r>
      <w:r>
        <w:rPr>
          <w:lang w:eastAsia="en-AU"/>
        </w:rPr>
        <w:lastRenderedPageBreak/>
        <w:t xml:space="preserve">good governance practices. It will also establish an independent National Data Commissioner to uphold the safeguards embedded in this scheme.  </w:t>
      </w:r>
    </w:p>
    <w:p w:rsidR="005C5125" w:rsidRDefault="005C5125" w:rsidP="005C5125">
      <w:pPr>
        <w:spacing w:after="160" w:line="256" w:lineRule="auto"/>
        <w:contextualSpacing/>
        <w:rPr>
          <w:lang w:eastAsia="en-AU"/>
        </w:rPr>
      </w:pPr>
    </w:p>
    <w:p w:rsidR="005C5125" w:rsidRDefault="005C5125" w:rsidP="005C5125">
      <w:pPr>
        <w:spacing w:after="160" w:line="256" w:lineRule="auto"/>
        <w:contextualSpacing/>
        <w:rPr>
          <w:lang w:eastAsia="en-AU"/>
        </w:rPr>
      </w:pPr>
      <w:r>
        <w:rPr>
          <w:lang w:eastAsia="en-AU"/>
        </w:rPr>
        <w:t>My sincere thanks to those who have been on this journey with us over the past two years to develop this legislation. I encourage you to read the Exposure Draft of the Bill and supporting materials to find out more about this Bill. Your feedback will be important to get this important reform right.</w:t>
      </w:r>
    </w:p>
    <w:p w:rsidR="00805C01" w:rsidRPr="004A69F3" w:rsidRDefault="00805C01" w:rsidP="00805C01">
      <w:pPr>
        <w:spacing w:after="160" w:line="256" w:lineRule="auto"/>
        <w:contextualSpacing/>
        <w:rPr>
          <w:b/>
          <w:lang w:eastAsia="en-AU"/>
        </w:rPr>
      </w:pPr>
    </w:p>
    <w:p w:rsidR="00805C01" w:rsidRPr="004A69F3" w:rsidRDefault="00805C01" w:rsidP="00805C01">
      <w:pPr>
        <w:spacing w:after="160" w:line="256" w:lineRule="auto"/>
        <w:contextualSpacing/>
        <w:rPr>
          <w:b/>
          <w:lang w:eastAsia="en-AU"/>
        </w:rPr>
      </w:pPr>
      <w:r w:rsidRPr="004A69F3">
        <w:rPr>
          <w:b/>
          <w:lang w:eastAsia="en-AU"/>
        </w:rPr>
        <w:t>The Hon. Stuart Robert MP</w:t>
      </w:r>
    </w:p>
    <w:p w:rsidR="00805C01" w:rsidRDefault="00805C01" w:rsidP="00805C01">
      <w:pPr>
        <w:spacing w:after="160" w:line="256" w:lineRule="auto"/>
        <w:contextualSpacing/>
      </w:pPr>
      <w:r>
        <w:t>Minister for the National Disability Insurance Scheme</w:t>
      </w:r>
    </w:p>
    <w:p w:rsidR="00805C01" w:rsidRDefault="00805C01" w:rsidP="00805C01">
      <w:pPr>
        <w:spacing w:after="160" w:line="256" w:lineRule="auto"/>
        <w:contextualSpacing/>
      </w:pPr>
      <w:r>
        <w:t>Minister for Government Services</w:t>
      </w:r>
    </w:p>
    <w:p w:rsidR="00805C01" w:rsidRDefault="00805C01" w:rsidP="00805C01">
      <w:pPr>
        <w:spacing w:after="160" w:line="259" w:lineRule="auto"/>
        <w:rPr>
          <w:rFonts w:ascii="Montserrat Semi Bold" w:hAnsi="Montserrat Semi Bold"/>
          <w:smallCaps/>
          <w:color w:val="087379"/>
          <w:sz w:val="28"/>
        </w:rPr>
      </w:pPr>
      <w:r>
        <w:rPr>
          <w:smallCaps/>
        </w:rPr>
        <w:br w:type="page"/>
      </w:r>
    </w:p>
    <w:p w:rsidR="00805C01" w:rsidRDefault="00805C01" w:rsidP="00805C01">
      <w:pPr>
        <w:pStyle w:val="Heading1"/>
      </w:pPr>
      <w:bookmarkStart w:id="18" w:name="_Toc50909429"/>
      <w:r>
        <w:lastRenderedPageBreak/>
        <w:t>Statement from the National Data Advisory Council</w:t>
      </w:r>
      <w:bookmarkEnd w:id="18"/>
    </w:p>
    <w:p w:rsidR="00805C01" w:rsidRDefault="00805C01" w:rsidP="00805C01">
      <w:r>
        <w:t xml:space="preserve">The Data Availability and Transparency Bill is an important milestone in the journey to modernising government data sharing and use. The National Data Advisory Council is pleased to see that consultation leading up to the development of this Bill champions exemplar practices in public policy making. </w:t>
      </w:r>
    </w:p>
    <w:p w:rsidR="00805C01" w:rsidRDefault="00805C01" w:rsidP="00805C01">
      <w:pPr>
        <w:spacing w:before="240" w:after="240" w:line="240" w:lineRule="auto"/>
        <w:rPr>
          <w:rFonts w:eastAsia="Times New Roman" w:cstheme="minorHAnsi"/>
          <w:color w:val="000000" w:themeColor="text1"/>
          <w:lang w:val="en-GB" w:eastAsia="en-AU"/>
        </w:rPr>
      </w:pPr>
      <w:r>
        <w:t xml:space="preserve">The National Data Advisory Council has been part of this journey since the beginning, and has contributed to the development of the legislation with our views as experts across privacy- and data -driven organisations, consumer groups, academics and industry. While we provide a range of perspectives on data sharing, we share a common motivation: ensuring data held by the public sector is used in ways that benefit Australians, safely and responsibly. A key part of our role is to provide a sounding board for the interim National Data Commissioner to </w:t>
      </w:r>
      <w:r>
        <w:rPr>
          <w:rFonts w:eastAsia="Times New Roman" w:cstheme="minorHAnsi"/>
          <w:color w:val="000000" w:themeColor="text1"/>
          <w:lang w:val="en-GB" w:eastAsia="en-AU"/>
        </w:rPr>
        <w:t xml:space="preserve">find the right balance between streamlining the sharing and use of data while addressing privacy and security concerns. </w:t>
      </w:r>
    </w:p>
    <w:p w:rsidR="00805C01" w:rsidRDefault="00805C01" w:rsidP="00805C01">
      <w:r>
        <w:t xml:space="preserve">Since our inaugural meeting in March 2019, we have discussed the policy framework underpinning this Bill and its impact, and examined the data sharing reforms from our individual perspectives. Whether it was the ethical use of data or benefits from consumer perspectives, we have challenged positions, debated solutions, and offered new insights. </w:t>
      </w:r>
    </w:p>
    <w:p w:rsidR="00805C01" w:rsidRDefault="00805C01" w:rsidP="00805C01">
      <w:r>
        <w:t>As a council reflecting a range of perspectives, we appreciate that data initiatives need to acknowledge and take steps to, address, community concerns around privacy and fairness. The Office of the National Data Commissioner has gone to great lengths to engage with stakeholders with a wide range of perspectives, and where possible they have used these views to shape their legislation. We have also noted the transparency with which they have operated, taking care to communicate their work and to listen to stakeholders.</w:t>
      </w:r>
    </w:p>
    <w:p w:rsidR="00805C01" w:rsidRDefault="00805C01" w:rsidP="00805C01">
      <w:r>
        <w:t xml:space="preserve">A rigorously safe, streamlined, transparent and accountable framework for sharing data between government agencies and the private, research and non-profit sectors can deliver significant benefits to the Australian community. </w:t>
      </w:r>
      <w:r>
        <w:rPr>
          <w:bCs/>
        </w:rPr>
        <w:t>The National Data Advisory Council looks forward to our continued engagement with the Office of the National Data Commissioner as we move to the next steps in this journey. We also believe this paper and the draft legislation provide another opportunity for the community to engage with this important work.</w:t>
      </w:r>
    </w:p>
    <w:p w:rsidR="00805C01" w:rsidRDefault="00805C01" w:rsidP="00805C01">
      <w:pPr>
        <w:spacing w:after="160" w:line="259" w:lineRule="auto"/>
        <w:rPr>
          <w:b/>
        </w:rPr>
      </w:pPr>
    </w:p>
    <w:p w:rsidR="00805C01" w:rsidRDefault="00805C01" w:rsidP="00805C01">
      <w:pPr>
        <w:spacing w:after="160" w:line="259" w:lineRule="auto"/>
        <w:rPr>
          <w:b/>
        </w:rPr>
      </w:pPr>
      <w:r w:rsidRPr="00EE0622">
        <w:rPr>
          <w:b/>
        </w:rPr>
        <w:t>The</w:t>
      </w:r>
      <w:r>
        <w:rPr>
          <w:b/>
        </w:rPr>
        <w:t xml:space="preserve"> National Data Advisory Council</w:t>
      </w:r>
    </w:p>
    <w:p w:rsidR="00805C01" w:rsidRDefault="00805C01" w:rsidP="00805C01">
      <w:pPr>
        <w:spacing w:after="160" w:line="259" w:lineRule="auto"/>
      </w:pPr>
      <w:r w:rsidRPr="00EE0622">
        <w:t>Prof Nicholas Biddle</w:t>
      </w:r>
      <w:r>
        <w:br/>
      </w:r>
      <w:r w:rsidRPr="00EE0622">
        <w:t>Ms Ellen Broad</w:t>
      </w:r>
      <w:r>
        <w:br/>
      </w:r>
      <w:r w:rsidRPr="00EE0622">
        <w:t>Ms Angelene Falk</w:t>
      </w:r>
      <w:r>
        <w:br/>
      </w:r>
      <w:r w:rsidRPr="00EE0622">
        <w:t>Dr Alan Finkel</w:t>
      </w:r>
      <w:r>
        <w:br/>
      </w:r>
      <w:r w:rsidRPr="00EE0622">
        <w:lastRenderedPageBreak/>
        <w:t>Dr David Gruen</w:t>
      </w:r>
      <w:r>
        <w:br/>
      </w:r>
      <w:r w:rsidRPr="00EE0622">
        <w:t>Mr Paul McCarney</w:t>
      </w:r>
      <w:r>
        <w:br/>
      </w:r>
      <w:r w:rsidRPr="00EE0622">
        <w:t>Dr Joshua Meltzer</w:t>
      </w:r>
      <w:r>
        <w:br/>
      </w:r>
      <w:r w:rsidRPr="00EE0622">
        <w:t>Prof Sallie Pearson</w:t>
      </w:r>
      <w:r>
        <w:br/>
      </w:r>
      <w:r w:rsidRPr="00EE0622">
        <w:t>Ms Lauren Solomon</w:t>
      </w:r>
      <w:r>
        <w:br w:type="page"/>
      </w:r>
    </w:p>
    <w:bookmarkStart w:id="19" w:name="_Toc48482697" w:displacedByCustomXml="next"/>
    <w:bookmarkStart w:id="20" w:name="_Toc48392146" w:displacedByCustomXml="next"/>
    <w:bookmarkStart w:id="21" w:name="_Toc48393205" w:displacedByCustomXml="next"/>
    <w:bookmarkStart w:id="22" w:name="_Toc48574792" w:displacedByCustomXml="next"/>
    <w:sdt>
      <w:sdtPr>
        <w:rPr>
          <w:b/>
        </w:rPr>
        <w:id w:val="-613596228"/>
        <w:docPartObj>
          <w:docPartGallery w:val="Table of Contents"/>
          <w:docPartUnique/>
        </w:docPartObj>
      </w:sdtPr>
      <w:sdtEndPr>
        <w:rPr>
          <w:b w:val="0"/>
          <w:bCs/>
          <w:noProof/>
        </w:rPr>
      </w:sdtEndPr>
      <w:sdtContent>
        <w:p w:rsidR="007C5F27" w:rsidRDefault="00F60F18">
          <w:pPr>
            <w:pStyle w:val="TOC1"/>
            <w:tabs>
              <w:tab w:val="right" w:leader="dot" w:pos="9016"/>
            </w:tabs>
            <w:rPr>
              <w:rStyle w:val="Heading1Char"/>
            </w:rPr>
          </w:pPr>
          <w:r w:rsidRPr="00823EBD">
            <w:rPr>
              <w:rStyle w:val="Heading1Char"/>
            </w:rPr>
            <w:t>Contents</w:t>
          </w:r>
          <w:bookmarkEnd w:id="22"/>
          <w:bookmarkEnd w:id="21"/>
          <w:bookmarkEnd w:id="20"/>
          <w:bookmarkEnd w:id="19"/>
        </w:p>
        <w:p w:rsidR="007C5F27" w:rsidRDefault="00F60F18">
          <w:pPr>
            <w:pStyle w:val="TOC1"/>
            <w:tabs>
              <w:tab w:val="right" w:leader="dot" w:pos="9016"/>
            </w:tabs>
            <w:rPr>
              <w:rFonts w:eastAsiaTheme="minorEastAsia"/>
              <w:noProof/>
              <w:lang w:eastAsia="en-AU"/>
            </w:rPr>
          </w:pPr>
          <w:r>
            <w:rPr>
              <w:rFonts w:ascii="Century Gothic" w:hAnsi="Century Gothic"/>
              <w:color w:val="171859"/>
              <w:sz w:val="28"/>
            </w:rPr>
            <w:fldChar w:fldCharType="begin"/>
          </w:r>
          <w:r>
            <w:instrText xml:space="preserve"> TOC \o "1-3" \h \z \u </w:instrText>
          </w:r>
          <w:r>
            <w:rPr>
              <w:rFonts w:ascii="Century Gothic" w:hAnsi="Century Gothic"/>
              <w:color w:val="171859"/>
              <w:sz w:val="28"/>
            </w:rPr>
            <w:fldChar w:fldCharType="separate"/>
          </w:r>
          <w:hyperlink w:anchor="_Toc50909428" w:history="1">
            <w:r w:rsidR="007C5F27" w:rsidRPr="009F0B72">
              <w:rPr>
                <w:rStyle w:val="Hyperlink"/>
                <w:noProof/>
              </w:rPr>
              <w:t>Minister’s Foreword</w:t>
            </w:r>
            <w:r w:rsidR="007C5F27">
              <w:rPr>
                <w:noProof/>
                <w:webHidden/>
              </w:rPr>
              <w:tab/>
            </w:r>
            <w:r w:rsidR="007C5F27">
              <w:rPr>
                <w:noProof/>
                <w:webHidden/>
              </w:rPr>
              <w:fldChar w:fldCharType="begin"/>
            </w:r>
            <w:r w:rsidR="007C5F27">
              <w:rPr>
                <w:noProof/>
                <w:webHidden/>
              </w:rPr>
              <w:instrText xml:space="preserve"> PAGEREF _Toc50909428 \h </w:instrText>
            </w:r>
            <w:r w:rsidR="007C5F27">
              <w:rPr>
                <w:noProof/>
                <w:webHidden/>
              </w:rPr>
            </w:r>
            <w:r w:rsidR="007C5F27">
              <w:rPr>
                <w:noProof/>
                <w:webHidden/>
              </w:rPr>
              <w:fldChar w:fldCharType="separate"/>
            </w:r>
            <w:r w:rsidR="00F533CC">
              <w:rPr>
                <w:noProof/>
                <w:webHidden/>
              </w:rPr>
              <w:t>3</w:t>
            </w:r>
            <w:r w:rsidR="007C5F27">
              <w:rPr>
                <w:noProof/>
                <w:webHidden/>
              </w:rPr>
              <w:fldChar w:fldCharType="end"/>
            </w:r>
          </w:hyperlink>
        </w:p>
        <w:p w:rsidR="007C5F27" w:rsidRDefault="00C51B53">
          <w:pPr>
            <w:pStyle w:val="TOC1"/>
            <w:tabs>
              <w:tab w:val="right" w:leader="dot" w:pos="9016"/>
            </w:tabs>
            <w:rPr>
              <w:rFonts w:eastAsiaTheme="minorEastAsia"/>
              <w:noProof/>
              <w:lang w:eastAsia="en-AU"/>
            </w:rPr>
          </w:pPr>
          <w:hyperlink w:anchor="_Toc50909429" w:history="1">
            <w:r w:rsidR="007C5F27" w:rsidRPr="009F0B72">
              <w:rPr>
                <w:rStyle w:val="Hyperlink"/>
                <w:noProof/>
              </w:rPr>
              <w:t>Statement from the National Data Advisory Council</w:t>
            </w:r>
            <w:r w:rsidR="007C5F27">
              <w:rPr>
                <w:noProof/>
                <w:webHidden/>
              </w:rPr>
              <w:tab/>
            </w:r>
            <w:r w:rsidR="007C5F27">
              <w:rPr>
                <w:noProof/>
                <w:webHidden/>
              </w:rPr>
              <w:fldChar w:fldCharType="begin"/>
            </w:r>
            <w:r w:rsidR="007C5F27">
              <w:rPr>
                <w:noProof/>
                <w:webHidden/>
              </w:rPr>
              <w:instrText xml:space="preserve"> PAGEREF _Toc50909429 \h </w:instrText>
            </w:r>
            <w:r w:rsidR="007C5F27">
              <w:rPr>
                <w:noProof/>
                <w:webHidden/>
              </w:rPr>
            </w:r>
            <w:r w:rsidR="007C5F27">
              <w:rPr>
                <w:noProof/>
                <w:webHidden/>
              </w:rPr>
              <w:fldChar w:fldCharType="separate"/>
            </w:r>
            <w:r w:rsidR="00F533CC">
              <w:rPr>
                <w:noProof/>
                <w:webHidden/>
              </w:rPr>
              <w:t>4</w:t>
            </w:r>
            <w:r w:rsidR="007C5F27">
              <w:rPr>
                <w:noProof/>
                <w:webHidden/>
              </w:rPr>
              <w:fldChar w:fldCharType="end"/>
            </w:r>
          </w:hyperlink>
        </w:p>
        <w:p w:rsidR="007C5F27" w:rsidRDefault="00C51B53">
          <w:pPr>
            <w:pStyle w:val="TOC1"/>
            <w:tabs>
              <w:tab w:val="left" w:pos="440"/>
              <w:tab w:val="right" w:leader="dot" w:pos="9016"/>
            </w:tabs>
            <w:rPr>
              <w:rFonts w:eastAsiaTheme="minorEastAsia"/>
              <w:noProof/>
              <w:lang w:eastAsia="en-AU"/>
            </w:rPr>
          </w:pPr>
          <w:hyperlink w:anchor="_Toc50909430" w:history="1">
            <w:r w:rsidR="007C5F27" w:rsidRPr="009F0B72">
              <w:rPr>
                <w:rStyle w:val="Hyperlink"/>
                <w:noProof/>
                <w:lang w:eastAsia="en-AU"/>
              </w:rPr>
              <w:t>1.</w:t>
            </w:r>
            <w:r w:rsidR="007C5F27">
              <w:rPr>
                <w:rFonts w:eastAsiaTheme="minorEastAsia"/>
                <w:noProof/>
                <w:lang w:eastAsia="en-AU"/>
              </w:rPr>
              <w:tab/>
            </w:r>
            <w:r w:rsidR="007C5F27" w:rsidRPr="009F0B72">
              <w:rPr>
                <w:rStyle w:val="Hyperlink"/>
                <w:noProof/>
              </w:rPr>
              <w:t>Overview</w:t>
            </w:r>
            <w:r w:rsidR="007C5F27">
              <w:rPr>
                <w:noProof/>
                <w:webHidden/>
              </w:rPr>
              <w:tab/>
            </w:r>
            <w:r w:rsidR="007C5F27">
              <w:rPr>
                <w:noProof/>
                <w:webHidden/>
              </w:rPr>
              <w:fldChar w:fldCharType="begin"/>
            </w:r>
            <w:r w:rsidR="007C5F27">
              <w:rPr>
                <w:noProof/>
                <w:webHidden/>
              </w:rPr>
              <w:instrText xml:space="preserve"> PAGEREF _Toc50909430 \h </w:instrText>
            </w:r>
            <w:r w:rsidR="007C5F27">
              <w:rPr>
                <w:noProof/>
                <w:webHidden/>
              </w:rPr>
            </w:r>
            <w:r w:rsidR="007C5F27">
              <w:rPr>
                <w:noProof/>
                <w:webHidden/>
              </w:rPr>
              <w:fldChar w:fldCharType="separate"/>
            </w:r>
            <w:r w:rsidR="00F533CC">
              <w:rPr>
                <w:noProof/>
                <w:webHidden/>
              </w:rPr>
              <w:t>6</w:t>
            </w:r>
            <w:r w:rsidR="007C5F27">
              <w:rPr>
                <w:noProof/>
                <w:webHidden/>
              </w:rPr>
              <w:fldChar w:fldCharType="end"/>
            </w:r>
          </w:hyperlink>
        </w:p>
        <w:p w:rsidR="007C5F27" w:rsidRDefault="00C51B53">
          <w:pPr>
            <w:pStyle w:val="TOC2"/>
            <w:rPr>
              <w:rFonts w:eastAsiaTheme="minorEastAsia"/>
              <w:noProof/>
              <w:lang w:eastAsia="en-AU"/>
            </w:rPr>
          </w:pPr>
          <w:hyperlink w:anchor="_Toc50909431" w:history="1">
            <w:r w:rsidR="007C5F27" w:rsidRPr="009F0B72">
              <w:rPr>
                <w:rStyle w:val="Hyperlink"/>
                <w:noProof/>
                <w:lang w:eastAsia="en-AU"/>
              </w:rPr>
              <w:t>1.1</w:t>
            </w:r>
            <w:r w:rsidR="007C5F27">
              <w:rPr>
                <w:rFonts w:eastAsiaTheme="minorEastAsia"/>
                <w:noProof/>
                <w:lang w:eastAsia="en-AU"/>
              </w:rPr>
              <w:tab/>
            </w:r>
            <w:r w:rsidR="007C5F27" w:rsidRPr="009F0B72">
              <w:rPr>
                <w:rStyle w:val="Hyperlink"/>
                <w:noProof/>
                <w:lang w:eastAsia="en-AU"/>
              </w:rPr>
              <w:t>Modernising, maximising and safeguarding data use will deliver benefits to Australians</w:t>
            </w:r>
            <w:r w:rsidR="007C5F27">
              <w:rPr>
                <w:noProof/>
                <w:webHidden/>
              </w:rPr>
              <w:tab/>
            </w:r>
            <w:r w:rsidR="007C5F27">
              <w:rPr>
                <w:noProof/>
                <w:webHidden/>
              </w:rPr>
              <w:fldChar w:fldCharType="begin"/>
            </w:r>
            <w:r w:rsidR="007C5F27">
              <w:rPr>
                <w:noProof/>
                <w:webHidden/>
              </w:rPr>
              <w:instrText xml:space="preserve"> PAGEREF _Toc50909431 \h </w:instrText>
            </w:r>
            <w:r w:rsidR="007C5F27">
              <w:rPr>
                <w:noProof/>
                <w:webHidden/>
              </w:rPr>
            </w:r>
            <w:r w:rsidR="007C5F27">
              <w:rPr>
                <w:noProof/>
                <w:webHidden/>
              </w:rPr>
              <w:fldChar w:fldCharType="separate"/>
            </w:r>
            <w:r w:rsidR="00F533CC">
              <w:rPr>
                <w:noProof/>
                <w:webHidden/>
              </w:rPr>
              <w:t>6</w:t>
            </w:r>
            <w:r w:rsidR="007C5F27">
              <w:rPr>
                <w:noProof/>
                <w:webHidden/>
              </w:rPr>
              <w:fldChar w:fldCharType="end"/>
            </w:r>
          </w:hyperlink>
        </w:p>
        <w:p w:rsidR="007C5F27" w:rsidRDefault="00C51B53">
          <w:pPr>
            <w:pStyle w:val="TOC2"/>
            <w:rPr>
              <w:rFonts w:eastAsiaTheme="minorEastAsia"/>
              <w:noProof/>
              <w:lang w:eastAsia="en-AU"/>
            </w:rPr>
          </w:pPr>
          <w:hyperlink w:anchor="_Toc50909432" w:history="1">
            <w:r w:rsidR="007C5F27" w:rsidRPr="009F0B72">
              <w:rPr>
                <w:rStyle w:val="Hyperlink"/>
                <w:noProof/>
                <w:lang w:eastAsia="en-AU"/>
              </w:rPr>
              <w:t>1.2</w:t>
            </w:r>
            <w:r w:rsidR="007C5F27">
              <w:rPr>
                <w:rFonts w:eastAsiaTheme="minorEastAsia"/>
                <w:noProof/>
                <w:lang w:eastAsia="en-AU"/>
              </w:rPr>
              <w:tab/>
            </w:r>
            <w:r w:rsidR="007C5F27" w:rsidRPr="009F0B72">
              <w:rPr>
                <w:rStyle w:val="Hyperlink"/>
                <w:noProof/>
                <w:lang w:eastAsia="en-AU"/>
              </w:rPr>
              <w:t>Reforms target inconsistencies in sharing data</w:t>
            </w:r>
            <w:r w:rsidR="007C5F27">
              <w:rPr>
                <w:noProof/>
                <w:webHidden/>
              </w:rPr>
              <w:tab/>
            </w:r>
            <w:r w:rsidR="007C5F27">
              <w:rPr>
                <w:noProof/>
                <w:webHidden/>
              </w:rPr>
              <w:fldChar w:fldCharType="begin"/>
            </w:r>
            <w:r w:rsidR="007C5F27">
              <w:rPr>
                <w:noProof/>
                <w:webHidden/>
              </w:rPr>
              <w:instrText xml:space="preserve"> PAGEREF _Toc50909432 \h </w:instrText>
            </w:r>
            <w:r w:rsidR="007C5F27">
              <w:rPr>
                <w:noProof/>
                <w:webHidden/>
              </w:rPr>
            </w:r>
            <w:r w:rsidR="007C5F27">
              <w:rPr>
                <w:noProof/>
                <w:webHidden/>
              </w:rPr>
              <w:fldChar w:fldCharType="separate"/>
            </w:r>
            <w:r w:rsidR="00F533CC">
              <w:rPr>
                <w:noProof/>
                <w:webHidden/>
              </w:rPr>
              <w:t>7</w:t>
            </w:r>
            <w:r w:rsidR="007C5F27">
              <w:rPr>
                <w:noProof/>
                <w:webHidden/>
              </w:rPr>
              <w:fldChar w:fldCharType="end"/>
            </w:r>
          </w:hyperlink>
        </w:p>
        <w:p w:rsidR="007C5F27" w:rsidRDefault="00C51B53">
          <w:pPr>
            <w:pStyle w:val="TOC2"/>
            <w:rPr>
              <w:rFonts w:eastAsiaTheme="minorEastAsia"/>
              <w:noProof/>
              <w:lang w:eastAsia="en-AU"/>
            </w:rPr>
          </w:pPr>
          <w:hyperlink w:anchor="_Toc50909433" w:history="1">
            <w:r w:rsidR="007C5F27" w:rsidRPr="009F0B72">
              <w:rPr>
                <w:rStyle w:val="Hyperlink"/>
                <w:noProof/>
                <w:lang w:eastAsia="en-AU"/>
              </w:rPr>
              <w:t>1.3</w:t>
            </w:r>
            <w:r w:rsidR="007C5F27">
              <w:rPr>
                <w:rFonts w:eastAsiaTheme="minorEastAsia"/>
                <w:noProof/>
                <w:lang w:eastAsia="en-AU"/>
              </w:rPr>
              <w:tab/>
            </w:r>
            <w:r w:rsidR="007C5F27" w:rsidRPr="009F0B72">
              <w:rPr>
                <w:rStyle w:val="Hyperlink"/>
                <w:noProof/>
                <w:lang w:eastAsia="en-AU"/>
              </w:rPr>
              <w:t>The Data Availability and Transparency Bill enables safe and consistent data sharing practices</w:t>
            </w:r>
            <w:r w:rsidR="007C5F27">
              <w:rPr>
                <w:noProof/>
                <w:webHidden/>
              </w:rPr>
              <w:tab/>
            </w:r>
            <w:r w:rsidR="007C5F27">
              <w:rPr>
                <w:noProof/>
                <w:webHidden/>
              </w:rPr>
              <w:fldChar w:fldCharType="begin"/>
            </w:r>
            <w:r w:rsidR="007C5F27">
              <w:rPr>
                <w:noProof/>
                <w:webHidden/>
              </w:rPr>
              <w:instrText xml:space="preserve"> PAGEREF _Toc50909433 \h </w:instrText>
            </w:r>
            <w:r w:rsidR="007C5F27">
              <w:rPr>
                <w:noProof/>
                <w:webHidden/>
              </w:rPr>
            </w:r>
            <w:r w:rsidR="007C5F27">
              <w:rPr>
                <w:noProof/>
                <w:webHidden/>
              </w:rPr>
              <w:fldChar w:fldCharType="separate"/>
            </w:r>
            <w:r w:rsidR="00F533CC">
              <w:rPr>
                <w:noProof/>
                <w:webHidden/>
              </w:rPr>
              <w:t>8</w:t>
            </w:r>
            <w:r w:rsidR="007C5F27">
              <w:rPr>
                <w:noProof/>
                <w:webHidden/>
              </w:rPr>
              <w:fldChar w:fldCharType="end"/>
            </w:r>
          </w:hyperlink>
        </w:p>
        <w:p w:rsidR="007C5F27" w:rsidRDefault="00C51B53">
          <w:pPr>
            <w:pStyle w:val="TOC2"/>
            <w:rPr>
              <w:rFonts w:eastAsiaTheme="minorEastAsia"/>
              <w:noProof/>
              <w:lang w:eastAsia="en-AU"/>
            </w:rPr>
          </w:pPr>
          <w:hyperlink w:anchor="_Toc50909434" w:history="1">
            <w:r w:rsidR="007C5F27" w:rsidRPr="009F0B72">
              <w:rPr>
                <w:rStyle w:val="Hyperlink"/>
                <w:noProof/>
                <w:lang w:eastAsia="en-AU"/>
              </w:rPr>
              <w:t>1.4</w:t>
            </w:r>
            <w:r w:rsidR="007C5F27">
              <w:rPr>
                <w:rFonts w:eastAsiaTheme="minorEastAsia"/>
                <w:noProof/>
                <w:lang w:eastAsia="en-AU"/>
              </w:rPr>
              <w:tab/>
            </w:r>
            <w:r w:rsidR="007C5F27" w:rsidRPr="009F0B72">
              <w:rPr>
                <w:rStyle w:val="Hyperlink"/>
                <w:noProof/>
                <w:lang w:eastAsia="en-AU"/>
              </w:rPr>
              <w:t>The legislation is informed by an ongoing public conversation</w:t>
            </w:r>
            <w:r w:rsidR="007C5F27">
              <w:rPr>
                <w:noProof/>
                <w:webHidden/>
              </w:rPr>
              <w:tab/>
            </w:r>
            <w:r w:rsidR="007C5F27">
              <w:rPr>
                <w:noProof/>
                <w:webHidden/>
              </w:rPr>
              <w:fldChar w:fldCharType="begin"/>
            </w:r>
            <w:r w:rsidR="007C5F27">
              <w:rPr>
                <w:noProof/>
                <w:webHidden/>
              </w:rPr>
              <w:instrText xml:space="preserve"> PAGEREF _Toc50909434 \h </w:instrText>
            </w:r>
            <w:r w:rsidR="007C5F27">
              <w:rPr>
                <w:noProof/>
                <w:webHidden/>
              </w:rPr>
            </w:r>
            <w:r w:rsidR="007C5F27">
              <w:rPr>
                <w:noProof/>
                <w:webHidden/>
              </w:rPr>
              <w:fldChar w:fldCharType="separate"/>
            </w:r>
            <w:r w:rsidR="00F533CC">
              <w:rPr>
                <w:noProof/>
                <w:webHidden/>
              </w:rPr>
              <w:t>8</w:t>
            </w:r>
            <w:r w:rsidR="007C5F27">
              <w:rPr>
                <w:noProof/>
                <w:webHidden/>
              </w:rPr>
              <w:fldChar w:fldCharType="end"/>
            </w:r>
          </w:hyperlink>
        </w:p>
        <w:p w:rsidR="007C5F27" w:rsidRDefault="00C51B53">
          <w:pPr>
            <w:pStyle w:val="TOC2"/>
            <w:rPr>
              <w:rFonts w:eastAsiaTheme="minorEastAsia"/>
              <w:noProof/>
              <w:lang w:eastAsia="en-AU"/>
            </w:rPr>
          </w:pPr>
          <w:hyperlink w:anchor="_Toc50909435" w:history="1">
            <w:r w:rsidR="007C5F27" w:rsidRPr="009F0B72">
              <w:rPr>
                <w:rStyle w:val="Hyperlink"/>
                <w:noProof/>
                <w:lang w:eastAsia="en-AU"/>
              </w:rPr>
              <w:t>1.5</w:t>
            </w:r>
            <w:r w:rsidR="007C5F27">
              <w:rPr>
                <w:rFonts w:eastAsiaTheme="minorEastAsia"/>
                <w:noProof/>
                <w:lang w:eastAsia="en-AU"/>
              </w:rPr>
              <w:tab/>
            </w:r>
            <w:r w:rsidR="007C5F27" w:rsidRPr="009F0B72">
              <w:rPr>
                <w:rStyle w:val="Hyperlink"/>
                <w:noProof/>
                <w:lang w:eastAsia="en-AU"/>
              </w:rPr>
              <w:t>How to read this document and associated material</w:t>
            </w:r>
            <w:r w:rsidR="007C5F27">
              <w:rPr>
                <w:noProof/>
                <w:webHidden/>
              </w:rPr>
              <w:tab/>
            </w:r>
            <w:r w:rsidR="007C5F27">
              <w:rPr>
                <w:noProof/>
                <w:webHidden/>
              </w:rPr>
              <w:fldChar w:fldCharType="begin"/>
            </w:r>
            <w:r w:rsidR="007C5F27">
              <w:rPr>
                <w:noProof/>
                <w:webHidden/>
              </w:rPr>
              <w:instrText xml:space="preserve"> PAGEREF _Toc50909435 \h </w:instrText>
            </w:r>
            <w:r w:rsidR="007C5F27">
              <w:rPr>
                <w:noProof/>
                <w:webHidden/>
              </w:rPr>
            </w:r>
            <w:r w:rsidR="007C5F27">
              <w:rPr>
                <w:noProof/>
                <w:webHidden/>
              </w:rPr>
              <w:fldChar w:fldCharType="separate"/>
            </w:r>
            <w:r w:rsidR="00F533CC">
              <w:rPr>
                <w:noProof/>
                <w:webHidden/>
              </w:rPr>
              <w:t>9</w:t>
            </w:r>
            <w:r w:rsidR="007C5F27">
              <w:rPr>
                <w:noProof/>
                <w:webHidden/>
              </w:rPr>
              <w:fldChar w:fldCharType="end"/>
            </w:r>
          </w:hyperlink>
        </w:p>
        <w:p w:rsidR="007C5F27" w:rsidRDefault="00C51B53">
          <w:pPr>
            <w:pStyle w:val="TOC2"/>
            <w:rPr>
              <w:rFonts w:eastAsiaTheme="minorEastAsia"/>
              <w:noProof/>
              <w:lang w:eastAsia="en-AU"/>
            </w:rPr>
          </w:pPr>
          <w:hyperlink w:anchor="_Toc50909436" w:history="1">
            <w:r w:rsidR="007C5F27" w:rsidRPr="009F0B72">
              <w:rPr>
                <w:rStyle w:val="Hyperlink"/>
                <w:noProof/>
                <w:lang w:eastAsia="en-AU"/>
              </w:rPr>
              <w:t>1.6</w:t>
            </w:r>
            <w:r w:rsidR="007C5F27">
              <w:rPr>
                <w:rFonts w:eastAsiaTheme="minorEastAsia"/>
                <w:noProof/>
                <w:lang w:eastAsia="en-AU"/>
              </w:rPr>
              <w:tab/>
            </w:r>
            <w:r w:rsidR="007C5F27" w:rsidRPr="009F0B72">
              <w:rPr>
                <w:rStyle w:val="Hyperlink"/>
                <w:noProof/>
                <w:lang w:eastAsia="en-AU"/>
              </w:rPr>
              <w:t>Have your say and next steps</w:t>
            </w:r>
            <w:r w:rsidR="007C5F27">
              <w:rPr>
                <w:noProof/>
                <w:webHidden/>
              </w:rPr>
              <w:tab/>
            </w:r>
            <w:r w:rsidR="007C5F27">
              <w:rPr>
                <w:noProof/>
                <w:webHidden/>
              </w:rPr>
              <w:fldChar w:fldCharType="begin"/>
            </w:r>
            <w:r w:rsidR="007C5F27">
              <w:rPr>
                <w:noProof/>
                <w:webHidden/>
              </w:rPr>
              <w:instrText xml:space="preserve"> PAGEREF _Toc50909436 \h </w:instrText>
            </w:r>
            <w:r w:rsidR="007C5F27">
              <w:rPr>
                <w:noProof/>
                <w:webHidden/>
              </w:rPr>
            </w:r>
            <w:r w:rsidR="007C5F27">
              <w:rPr>
                <w:noProof/>
                <w:webHidden/>
              </w:rPr>
              <w:fldChar w:fldCharType="separate"/>
            </w:r>
            <w:r w:rsidR="00F533CC">
              <w:rPr>
                <w:noProof/>
                <w:webHidden/>
              </w:rPr>
              <w:t>10</w:t>
            </w:r>
            <w:r w:rsidR="007C5F27">
              <w:rPr>
                <w:noProof/>
                <w:webHidden/>
              </w:rPr>
              <w:fldChar w:fldCharType="end"/>
            </w:r>
          </w:hyperlink>
        </w:p>
        <w:p w:rsidR="007C5F27" w:rsidRDefault="00C51B53">
          <w:pPr>
            <w:pStyle w:val="TOC1"/>
            <w:tabs>
              <w:tab w:val="left" w:pos="440"/>
              <w:tab w:val="right" w:leader="dot" w:pos="9016"/>
            </w:tabs>
            <w:rPr>
              <w:rFonts w:eastAsiaTheme="minorEastAsia"/>
              <w:noProof/>
              <w:lang w:eastAsia="en-AU"/>
            </w:rPr>
          </w:pPr>
          <w:hyperlink w:anchor="_Toc50909437" w:history="1">
            <w:r w:rsidR="007C5F27" w:rsidRPr="009F0B72">
              <w:rPr>
                <w:rStyle w:val="Hyperlink"/>
                <w:noProof/>
              </w:rPr>
              <w:t>2.</w:t>
            </w:r>
            <w:r w:rsidR="007C5F27">
              <w:rPr>
                <w:rFonts w:eastAsiaTheme="minorEastAsia"/>
                <w:noProof/>
                <w:lang w:eastAsia="en-AU"/>
              </w:rPr>
              <w:tab/>
            </w:r>
            <w:r w:rsidR="007C5F27" w:rsidRPr="009F0B72">
              <w:rPr>
                <w:rStyle w:val="Hyperlink"/>
                <w:noProof/>
              </w:rPr>
              <w:t>The Data Availability and Transparency Bill: A summary</w:t>
            </w:r>
            <w:r w:rsidR="007C5F27">
              <w:rPr>
                <w:noProof/>
                <w:webHidden/>
              </w:rPr>
              <w:tab/>
            </w:r>
            <w:r w:rsidR="007C5F27">
              <w:rPr>
                <w:noProof/>
                <w:webHidden/>
              </w:rPr>
              <w:fldChar w:fldCharType="begin"/>
            </w:r>
            <w:r w:rsidR="007C5F27">
              <w:rPr>
                <w:noProof/>
                <w:webHidden/>
              </w:rPr>
              <w:instrText xml:space="preserve"> PAGEREF _Toc50909437 \h </w:instrText>
            </w:r>
            <w:r w:rsidR="007C5F27">
              <w:rPr>
                <w:noProof/>
                <w:webHidden/>
              </w:rPr>
            </w:r>
            <w:r w:rsidR="007C5F27">
              <w:rPr>
                <w:noProof/>
                <w:webHidden/>
              </w:rPr>
              <w:fldChar w:fldCharType="separate"/>
            </w:r>
            <w:r w:rsidR="00F533CC">
              <w:rPr>
                <w:noProof/>
                <w:webHidden/>
              </w:rPr>
              <w:t>11</w:t>
            </w:r>
            <w:r w:rsidR="007C5F27">
              <w:rPr>
                <w:noProof/>
                <w:webHidden/>
              </w:rPr>
              <w:fldChar w:fldCharType="end"/>
            </w:r>
          </w:hyperlink>
        </w:p>
        <w:p w:rsidR="007C5F27" w:rsidRDefault="00C51B53">
          <w:pPr>
            <w:pStyle w:val="TOC2"/>
            <w:rPr>
              <w:rFonts w:eastAsiaTheme="minorEastAsia"/>
              <w:noProof/>
              <w:lang w:eastAsia="en-AU"/>
            </w:rPr>
          </w:pPr>
          <w:hyperlink w:anchor="_Toc50909438" w:history="1">
            <w:r w:rsidR="007C5F27" w:rsidRPr="009F0B72">
              <w:rPr>
                <w:rStyle w:val="Hyperlink"/>
                <w:noProof/>
              </w:rPr>
              <w:t>2.1</w:t>
            </w:r>
            <w:r w:rsidR="007C5F27">
              <w:rPr>
                <w:rFonts w:eastAsiaTheme="minorEastAsia"/>
                <w:noProof/>
                <w:lang w:eastAsia="en-AU"/>
              </w:rPr>
              <w:tab/>
            </w:r>
            <w:r w:rsidR="007C5F27" w:rsidRPr="009F0B72">
              <w:rPr>
                <w:rStyle w:val="Hyperlink"/>
                <w:noProof/>
              </w:rPr>
              <w:t>Key concepts of the data sharing scheme</w:t>
            </w:r>
            <w:r w:rsidR="007C5F27">
              <w:rPr>
                <w:noProof/>
                <w:webHidden/>
              </w:rPr>
              <w:tab/>
            </w:r>
            <w:r w:rsidR="007C5F27">
              <w:rPr>
                <w:noProof/>
                <w:webHidden/>
              </w:rPr>
              <w:fldChar w:fldCharType="begin"/>
            </w:r>
            <w:r w:rsidR="007C5F27">
              <w:rPr>
                <w:noProof/>
                <w:webHidden/>
              </w:rPr>
              <w:instrText xml:space="preserve"> PAGEREF _Toc50909438 \h </w:instrText>
            </w:r>
            <w:r w:rsidR="007C5F27">
              <w:rPr>
                <w:noProof/>
                <w:webHidden/>
              </w:rPr>
            </w:r>
            <w:r w:rsidR="007C5F27">
              <w:rPr>
                <w:noProof/>
                <w:webHidden/>
              </w:rPr>
              <w:fldChar w:fldCharType="separate"/>
            </w:r>
            <w:r w:rsidR="00F533CC">
              <w:rPr>
                <w:noProof/>
                <w:webHidden/>
              </w:rPr>
              <w:t>12</w:t>
            </w:r>
            <w:r w:rsidR="007C5F27">
              <w:rPr>
                <w:noProof/>
                <w:webHidden/>
              </w:rPr>
              <w:fldChar w:fldCharType="end"/>
            </w:r>
          </w:hyperlink>
        </w:p>
        <w:p w:rsidR="007C5F27" w:rsidRDefault="00C51B53">
          <w:pPr>
            <w:pStyle w:val="TOC2"/>
            <w:rPr>
              <w:rFonts w:eastAsiaTheme="minorEastAsia"/>
              <w:noProof/>
              <w:lang w:eastAsia="en-AU"/>
            </w:rPr>
          </w:pPr>
          <w:hyperlink w:anchor="_Toc50909442" w:history="1">
            <w:r w:rsidR="007C5F27" w:rsidRPr="009F0B72">
              <w:rPr>
                <w:rStyle w:val="Hyperlink"/>
                <w:noProof/>
              </w:rPr>
              <w:t>2.2</w:t>
            </w:r>
            <w:r w:rsidR="007C5F27">
              <w:rPr>
                <w:rFonts w:eastAsiaTheme="minorEastAsia"/>
                <w:noProof/>
                <w:lang w:eastAsia="en-AU"/>
              </w:rPr>
              <w:tab/>
            </w:r>
            <w:r w:rsidR="007C5F27" w:rsidRPr="009F0B72">
              <w:rPr>
                <w:rStyle w:val="Hyperlink"/>
                <w:noProof/>
              </w:rPr>
              <w:t>The data sharing scheme in practice</w:t>
            </w:r>
            <w:r w:rsidR="007C5F27">
              <w:rPr>
                <w:noProof/>
                <w:webHidden/>
              </w:rPr>
              <w:tab/>
            </w:r>
            <w:r w:rsidR="007C5F27">
              <w:rPr>
                <w:noProof/>
                <w:webHidden/>
              </w:rPr>
              <w:fldChar w:fldCharType="begin"/>
            </w:r>
            <w:r w:rsidR="007C5F27">
              <w:rPr>
                <w:noProof/>
                <w:webHidden/>
              </w:rPr>
              <w:instrText xml:space="preserve"> PAGEREF _Toc50909442 \h </w:instrText>
            </w:r>
            <w:r w:rsidR="007C5F27">
              <w:rPr>
                <w:noProof/>
                <w:webHidden/>
              </w:rPr>
            </w:r>
            <w:r w:rsidR="007C5F27">
              <w:rPr>
                <w:noProof/>
                <w:webHidden/>
              </w:rPr>
              <w:fldChar w:fldCharType="separate"/>
            </w:r>
            <w:r w:rsidR="00F533CC">
              <w:rPr>
                <w:noProof/>
                <w:webHidden/>
              </w:rPr>
              <w:t>14</w:t>
            </w:r>
            <w:r w:rsidR="007C5F27">
              <w:rPr>
                <w:noProof/>
                <w:webHidden/>
              </w:rPr>
              <w:fldChar w:fldCharType="end"/>
            </w:r>
          </w:hyperlink>
        </w:p>
        <w:p w:rsidR="007C5F27" w:rsidRDefault="00C51B53">
          <w:pPr>
            <w:pStyle w:val="TOC3"/>
            <w:rPr>
              <w:rFonts w:eastAsiaTheme="minorEastAsia"/>
              <w:noProof/>
              <w:lang w:eastAsia="en-AU"/>
            </w:rPr>
          </w:pPr>
          <w:hyperlink w:anchor="_Toc50909443" w:history="1">
            <w:r w:rsidR="007C5F27" w:rsidRPr="009F0B72">
              <w:rPr>
                <w:rStyle w:val="Hyperlink"/>
                <w:noProof/>
              </w:rPr>
              <w:t>2.2.1</w:t>
            </w:r>
            <w:r w:rsidR="007C5F27">
              <w:rPr>
                <w:rFonts w:eastAsiaTheme="minorEastAsia"/>
                <w:noProof/>
                <w:lang w:eastAsia="en-AU"/>
              </w:rPr>
              <w:tab/>
            </w:r>
            <w:r w:rsidR="007C5F27" w:rsidRPr="009F0B72">
              <w:rPr>
                <w:rStyle w:val="Hyperlink"/>
                <w:noProof/>
              </w:rPr>
              <w:t>The accreditation framework controls entry into the data sharing scheme</w:t>
            </w:r>
            <w:r w:rsidR="007C5F27">
              <w:rPr>
                <w:noProof/>
                <w:webHidden/>
              </w:rPr>
              <w:tab/>
            </w:r>
            <w:r w:rsidR="007C5F27">
              <w:rPr>
                <w:noProof/>
                <w:webHidden/>
              </w:rPr>
              <w:fldChar w:fldCharType="begin"/>
            </w:r>
            <w:r w:rsidR="007C5F27">
              <w:rPr>
                <w:noProof/>
                <w:webHidden/>
              </w:rPr>
              <w:instrText xml:space="preserve"> PAGEREF _Toc50909443 \h </w:instrText>
            </w:r>
            <w:r w:rsidR="007C5F27">
              <w:rPr>
                <w:noProof/>
                <w:webHidden/>
              </w:rPr>
            </w:r>
            <w:r w:rsidR="007C5F27">
              <w:rPr>
                <w:noProof/>
                <w:webHidden/>
              </w:rPr>
              <w:fldChar w:fldCharType="separate"/>
            </w:r>
            <w:r w:rsidR="00F533CC">
              <w:rPr>
                <w:noProof/>
                <w:webHidden/>
              </w:rPr>
              <w:t>14</w:t>
            </w:r>
            <w:r w:rsidR="007C5F27">
              <w:rPr>
                <w:noProof/>
                <w:webHidden/>
              </w:rPr>
              <w:fldChar w:fldCharType="end"/>
            </w:r>
          </w:hyperlink>
        </w:p>
        <w:p w:rsidR="007C5F27" w:rsidRDefault="00C51B53">
          <w:pPr>
            <w:pStyle w:val="TOC3"/>
            <w:rPr>
              <w:rFonts w:eastAsiaTheme="minorEastAsia"/>
              <w:noProof/>
              <w:lang w:eastAsia="en-AU"/>
            </w:rPr>
          </w:pPr>
          <w:hyperlink w:anchor="_Toc50909444" w:history="1">
            <w:r w:rsidR="007C5F27" w:rsidRPr="009F0B72">
              <w:rPr>
                <w:rStyle w:val="Hyperlink"/>
                <w:noProof/>
              </w:rPr>
              <w:t>2.2.2</w:t>
            </w:r>
            <w:r w:rsidR="007C5F27">
              <w:rPr>
                <w:rFonts w:eastAsiaTheme="minorEastAsia"/>
                <w:noProof/>
                <w:lang w:eastAsia="en-AU"/>
              </w:rPr>
              <w:tab/>
            </w:r>
            <w:r w:rsidR="007C5F27" w:rsidRPr="009F0B72">
              <w:rPr>
                <w:rStyle w:val="Hyperlink"/>
                <w:noProof/>
              </w:rPr>
              <w:t>Sharing is only authorised for data sharing purposes and must be in the public interest</w:t>
            </w:r>
            <w:r w:rsidR="007C5F27">
              <w:rPr>
                <w:noProof/>
                <w:webHidden/>
              </w:rPr>
              <w:tab/>
            </w:r>
            <w:r w:rsidR="007C5F27">
              <w:rPr>
                <w:noProof/>
                <w:webHidden/>
              </w:rPr>
              <w:fldChar w:fldCharType="begin"/>
            </w:r>
            <w:r w:rsidR="007C5F27">
              <w:rPr>
                <w:noProof/>
                <w:webHidden/>
              </w:rPr>
              <w:instrText xml:space="preserve"> PAGEREF _Toc50909444 \h </w:instrText>
            </w:r>
            <w:r w:rsidR="007C5F27">
              <w:rPr>
                <w:noProof/>
                <w:webHidden/>
              </w:rPr>
            </w:r>
            <w:r w:rsidR="007C5F27">
              <w:rPr>
                <w:noProof/>
                <w:webHidden/>
              </w:rPr>
              <w:fldChar w:fldCharType="separate"/>
            </w:r>
            <w:r w:rsidR="00F533CC">
              <w:rPr>
                <w:noProof/>
                <w:webHidden/>
              </w:rPr>
              <w:t>14</w:t>
            </w:r>
            <w:r w:rsidR="007C5F27">
              <w:rPr>
                <w:noProof/>
                <w:webHidden/>
              </w:rPr>
              <w:fldChar w:fldCharType="end"/>
            </w:r>
          </w:hyperlink>
        </w:p>
        <w:p w:rsidR="007C5F27" w:rsidRDefault="00C51B53">
          <w:pPr>
            <w:pStyle w:val="TOC3"/>
            <w:rPr>
              <w:rFonts w:eastAsiaTheme="minorEastAsia"/>
              <w:noProof/>
              <w:lang w:eastAsia="en-AU"/>
            </w:rPr>
          </w:pPr>
          <w:hyperlink w:anchor="_Toc50909445" w:history="1">
            <w:r w:rsidR="007C5F27" w:rsidRPr="009F0B72">
              <w:rPr>
                <w:rStyle w:val="Hyperlink"/>
                <w:noProof/>
              </w:rPr>
              <w:t>2.2.3</w:t>
            </w:r>
            <w:r w:rsidR="007C5F27">
              <w:rPr>
                <w:rFonts w:eastAsiaTheme="minorEastAsia"/>
                <w:noProof/>
                <w:lang w:eastAsia="en-AU"/>
              </w:rPr>
              <w:tab/>
            </w:r>
            <w:r w:rsidR="007C5F27" w:rsidRPr="009F0B72">
              <w:rPr>
                <w:rStyle w:val="Hyperlink"/>
                <w:noProof/>
              </w:rPr>
              <w:t>The data sharing principles are a risk management framework for safe data sharing</w:t>
            </w:r>
            <w:r w:rsidR="007C5F27">
              <w:rPr>
                <w:noProof/>
                <w:webHidden/>
              </w:rPr>
              <w:tab/>
            </w:r>
            <w:r w:rsidR="007C5F27">
              <w:rPr>
                <w:noProof/>
                <w:webHidden/>
              </w:rPr>
              <w:fldChar w:fldCharType="begin"/>
            </w:r>
            <w:r w:rsidR="007C5F27">
              <w:rPr>
                <w:noProof/>
                <w:webHidden/>
              </w:rPr>
              <w:instrText xml:space="preserve"> PAGEREF _Toc50909445 \h </w:instrText>
            </w:r>
            <w:r w:rsidR="007C5F27">
              <w:rPr>
                <w:noProof/>
                <w:webHidden/>
              </w:rPr>
            </w:r>
            <w:r w:rsidR="007C5F27">
              <w:rPr>
                <w:noProof/>
                <w:webHidden/>
              </w:rPr>
              <w:fldChar w:fldCharType="separate"/>
            </w:r>
            <w:r w:rsidR="00F533CC">
              <w:rPr>
                <w:noProof/>
                <w:webHidden/>
              </w:rPr>
              <w:t>15</w:t>
            </w:r>
            <w:r w:rsidR="007C5F27">
              <w:rPr>
                <w:noProof/>
                <w:webHidden/>
              </w:rPr>
              <w:fldChar w:fldCharType="end"/>
            </w:r>
          </w:hyperlink>
        </w:p>
        <w:p w:rsidR="007C5F27" w:rsidRDefault="00C51B53">
          <w:pPr>
            <w:pStyle w:val="TOC3"/>
            <w:rPr>
              <w:rFonts w:eastAsiaTheme="minorEastAsia"/>
              <w:noProof/>
              <w:lang w:eastAsia="en-AU"/>
            </w:rPr>
          </w:pPr>
          <w:hyperlink w:anchor="_Toc50909446" w:history="1">
            <w:r w:rsidR="007C5F27" w:rsidRPr="009F0B72">
              <w:rPr>
                <w:rStyle w:val="Hyperlink"/>
                <w:noProof/>
              </w:rPr>
              <w:t>The data sharing principles in practice at the Australian Bureau of Statistics</w:t>
            </w:r>
            <w:r w:rsidR="007C5F27">
              <w:rPr>
                <w:noProof/>
                <w:webHidden/>
              </w:rPr>
              <w:tab/>
            </w:r>
            <w:r w:rsidR="007C5F27">
              <w:rPr>
                <w:noProof/>
                <w:webHidden/>
              </w:rPr>
              <w:fldChar w:fldCharType="begin"/>
            </w:r>
            <w:r w:rsidR="007C5F27">
              <w:rPr>
                <w:noProof/>
                <w:webHidden/>
              </w:rPr>
              <w:instrText xml:space="preserve"> PAGEREF _Toc50909446 \h </w:instrText>
            </w:r>
            <w:r w:rsidR="007C5F27">
              <w:rPr>
                <w:noProof/>
                <w:webHidden/>
              </w:rPr>
            </w:r>
            <w:r w:rsidR="007C5F27">
              <w:rPr>
                <w:noProof/>
                <w:webHidden/>
              </w:rPr>
              <w:fldChar w:fldCharType="separate"/>
            </w:r>
            <w:r w:rsidR="00F533CC">
              <w:rPr>
                <w:noProof/>
                <w:webHidden/>
              </w:rPr>
              <w:t>16</w:t>
            </w:r>
            <w:r w:rsidR="007C5F27">
              <w:rPr>
                <w:noProof/>
                <w:webHidden/>
              </w:rPr>
              <w:fldChar w:fldCharType="end"/>
            </w:r>
          </w:hyperlink>
        </w:p>
        <w:p w:rsidR="007C5F27" w:rsidRDefault="00C51B53">
          <w:pPr>
            <w:pStyle w:val="TOC3"/>
            <w:rPr>
              <w:rFonts w:eastAsiaTheme="minorEastAsia"/>
              <w:noProof/>
              <w:lang w:eastAsia="en-AU"/>
            </w:rPr>
          </w:pPr>
          <w:hyperlink w:anchor="_Toc50909447" w:history="1">
            <w:r w:rsidR="007C5F27" w:rsidRPr="009F0B72">
              <w:rPr>
                <w:rStyle w:val="Hyperlink"/>
                <w:noProof/>
              </w:rPr>
              <w:t>2.2.4</w:t>
            </w:r>
            <w:r w:rsidR="007C5F27">
              <w:rPr>
                <w:rFonts w:eastAsiaTheme="minorEastAsia"/>
                <w:noProof/>
                <w:lang w:eastAsia="en-AU"/>
              </w:rPr>
              <w:tab/>
            </w:r>
            <w:r w:rsidR="007C5F27" w:rsidRPr="009F0B72">
              <w:rPr>
                <w:rStyle w:val="Hyperlink"/>
                <w:noProof/>
              </w:rPr>
              <w:t>Data sharing agreements formalise the terms and conditions of a data sharing project</w:t>
            </w:r>
            <w:r w:rsidR="007C5F27">
              <w:rPr>
                <w:noProof/>
                <w:webHidden/>
              </w:rPr>
              <w:tab/>
            </w:r>
            <w:r w:rsidR="007C5F27">
              <w:rPr>
                <w:noProof/>
                <w:webHidden/>
              </w:rPr>
              <w:fldChar w:fldCharType="begin"/>
            </w:r>
            <w:r w:rsidR="007C5F27">
              <w:rPr>
                <w:noProof/>
                <w:webHidden/>
              </w:rPr>
              <w:instrText xml:space="preserve"> PAGEREF _Toc50909447 \h </w:instrText>
            </w:r>
            <w:r w:rsidR="007C5F27">
              <w:rPr>
                <w:noProof/>
                <w:webHidden/>
              </w:rPr>
            </w:r>
            <w:r w:rsidR="007C5F27">
              <w:rPr>
                <w:noProof/>
                <w:webHidden/>
              </w:rPr>
              <w:fldChar w:fldCharType="separate"/>
            </w:r>
            <w:r w:rsidR="00F533CC">
              <w:rPr>
                <w:noProof/>
                <w:webHidden/>
              </w:rPr>
              <w:t>17</w:t>
            </w:r>
            <w:r w:rsidR="007C5F27">
              <w:rPr>
                <w:noProof/>
                <w:webHidden/>
              </w:rPr>
              <w:fldChar w:fldCharType="end"/>
            </w:r>
          </w:hyperlink>
        </w:p>
        <w:p w:rsidR="007C5F27" w:rsidRDefault="00C51B53">
          <w:pPr>
            <w:pStyle w:val="TOC3"/>
            <w:rPr>
              <w:rFonts w:eastAsiaTheme="minorEastAsia"/>
              <w:noProof/>
              <w:lang w:eastAsia="en-AU"/>
            </w:rPr>
          </w:pPr>
          <w:hyperlink w:anchor="_Toc50909448" w:history="1">
            <w:r w:rsidR="007C5F27" w:rsidRPr="009F0B72">
              <w:rPr>
                <w:rStyle w:val="Hyperlink"/>
                <w:noProof/>
              </w:rPr>
              <w:t>2.2.5</w:t>
            </w:r>
            <w:r w:rsidR="007C5F27">
              <w:rPr>
                <w:rFonts w:eastAsiaTheme="minorEastAsia"/>
                <w:noProof/>
                <w:lang w:eastAsia="en-AU"/>
              </w:rPr>
              <w:tab/>
            </w:r>
            <w:r w:rsidR="007C5F27" w:rsidRPr="009F0B72">
              <w:rPr>
                <w:rStyle w:val="Hyperlink"/>
                <w:noProof/>
              </w:rPr>
              <w:t>The National Data Commissioner will be empowered to oversee the scheme</w:t>
            </w:r>
            <w:r w:rsidR="007C5F27">
              <w:rPr>
                <w:noProof/>
                <w:webHidden/>
              </w:rPr>
              <w:tab/>
            </w:r>
            <w:r w:rsidR="007C5F27">
              <w:rPr>
                <w:noProof/>
                <w:webHidden/>
              </w:rPr>
              <w:fldChar w:fldCharType="begin"/>
            </w:r>
            <w:r w:rsidR="007C5F27">
              <w:rPr>
                <w:noProof/>
                <w:webHidden/>
              </w:rPr>
              <w:instrText xml:space="preserve"> PAGEREF _Toc50909448 \h </w:instrText>
            </w:r>
            <w:r w:rsidR="007C5F27">
              <w:rPr>
                <w:noProof/>
                <w:webHidden/>
              </w:rPr>
            </w:r>
            <w:r w:rsidR="007C5F27">
              <w:rPr>
                <w:noProof/>
                <w:webHidden/>
              </w:rPr>
              <w:fldChar w:fldCharType="separate"/>
            </w:r>
            <w:r w:rsidR="00F533CC">
              <w:rPr>
                <w:noProof/>
                <w:webHidden/>
              </w:rPr>
              <w:t>17</w:t>
            </w:r>
            <w:r w:rsidR="007C5F27">
              <w:rPr>
                <w:noProof/>
                <w:webHidden/>
              </w:rPr>
              <w:fldChar w:fldCharType="end"/>
            </w:r>
          </w:hyperlink>
        </w:p>
        <w:p w:rsidR="007C5F27" w:rsidRDefault="00C51B53">
          <w:pPr>
            <w:pStyle w:val="TOC3"/>
            <w:rPr>
              <w:rFonts w:eastAsiaTheme="minorEastAsia"/>
              <w:noProof/>
              <w:lang w:eastAsia="en-AU"/>
            </w:rPr>
          </w:pPr>
          <w:hyperlink w:anchor="_Toc50909449" w:history="1">
            <w:r w:rsidR="007C5F27" w:rsidRPr="009F0B72">
              <w:rPr>
                <w:rStyle w:val="Hyperlink"/>
                <w:noProof/>
              </w:rPr>
              <w:t>2.2.6</w:t>
            </w:r>
            <w:r w:rsidR="007C5F27">
              <w:rPr>
                <w:rFonts w:eastAsiaTheme="minorEastAsia"/>
                <w:noProof/>
                <w:lang w:eastAsia="en-AU"/>
              </w:rPr>
              <w:tab/>
            </w:r>
            <w:r w:rsidR="007C5F27" w:rsidRPr="009F0B72">
              <w:rPr>
                <w:rStyle w:val="Hyperlink"/>
                <w:noProof/>
              </w:rPr>
              <w:t>Periodic review of the Bill and its operation</w:t>
            </w:r>
            <w:r w:rsidR="007C5F27">
              <w:rPr>
                <w:noProof/>
                <w:webHidden/>
              </w:rPr>
              <w:tab/>
            </w:r>
            <w:r w:rsidR="007C5F27">
              <w:rPr>
                <w:noProof/>
                <w:webHidden/>
              </w:rPr>
              <w:fldChar w:fldCharType="begin"/>
            </w:r>
            <w:r w:rsidR="007C5F27">
              <w:rPr>
                <w:noProof/>
                <w:webHidden/>
              </w:rPr>
              <w:instrText xml:space="preserve"> PAGEREF _Toc50909449 \h </w:instrText>
            </w:r>
            <w:r w:rsidR="007C5F27">
              <w:rPr>
                <w:noProof/>
                <w:webHidden/>
              </w:rPr>
            </w:r>
            <w:r w:rsidR="007C5F27">
              <w:rPr>
                <w:noProof/>
                <w:webHidden/>
              </w:rPr>
              <w:fldChar w:fldCharType="separate"/>
            </w:r>
            <w:r w:rsidR="00F533CC">
              <w:rPr>
                <w:noProof/>
                <w:webHidden/>
              </w:rPr>
              <w:t>19</w:t>
            </w:r>
            <w:r w:rsidR="007C5F27">
              <w:rPr>
                <w:noProof/>
                <w:webHidden/>
              </w:rPr>
              <w:fldChar w:fldCharType="end"/>
            </w:r>
          </w:hyperlink>
        </w:p>
        <w:p w:rsidR="007C5F27" w:rsidRDefault="00C51B53">
          <w:pPr>
            <w:pStyle w:val="TOC1"/>
            <w:tabs>
              <w:tab w:val="left" w:pos="440"/>
              <w:tab w:val="right" w:leader="dot" w:pos="9016"/>
            </w:tabs>
            <w:rPr>
              <w:rFonts w:eastAsiaTheme="minorEastAsia"/>
              <w:noProof/>
              <w:lang w:eastAsia="en-AU"/>
            </w:rPr>
          </w:pPr>
          <w:hyperlink w:anchor="_Toc50909450" w:history="1">
            <w:r w:rsidR="007C5F27" w:rsidRPr="009F0B72">
              <w:rPr>
                <w:rStyle w:val="Hyperlink"/>
                <w:noProof/>
              </w:rPr>
              <w:t>3.</w:t>
            </w:r>
            <w:r w:rsidR="007C5F27">
              <w:rPr>
                <w:rFonts w:eastAsiaTheme="minorEastAsia"/>
                <w:noProof/>
                <w:lang w:eastAsia="en-AU"/>
              </w:rPr>
              <w:tab/>
            </w:r>
            <w:r w:rsidR="007C5F27" w:rsidRPr="009F0B72">
              <w:rPr>
                <w:rStyle w:val="Hyperlink"/>
                <w:noProof/>
              </w:rPr>
              <w:t>The data sharing scheme in practice</w:t>
            </w:r>
            <w:r w:rsidR="007C5F27">
              <w:rPr>
                <w:noProof/>
                <w:webHidden/>
              </w:rPr>
              <w:tab/>
            </w:r>
            <w:r w:rsidR="007C5F27">
              <w:rPr>
                <w:noProof/>
                <w:webHidden/>
              </w:rPr>
              <w:fldChar w:fldCharType="begin"/>
            </w:r>
            <w:r w:rsidR="007C5F27">
              <w:rPr>
                <w:noProof/>
                <w:webHidden/>
              </w:rPr>
              <w:instrText xml:space="preserve"> PAGEREF _Toc50909450 \h </w:instrText>
            </w:r>
            <w:r w:rsidR="007C5F27">
              <w:rPr>
                <w:noProof/>
                <w:webHidden/>
              </w:rPr>
            </w:r>
            <w:r w:rsidR="007C5F27">
              <w:rPr>
                <w:noProof/>
                <w:webHidden/>
              </w:rPr>
              <w:fldChar w:fldCharType="separate"/>
            </w:r>
            <w:r w:rsidR="00F533CC">
              <w:rPr>
                <w:noProof/>
                <w:webHidden/>
              </w:rPr>
              <w:t>20</w:t>
            </w:r>
            <w:r w:rsidR="007C5F27">
              <w:rPr>
                <w:noProof/>
                <w:webHidden/>
              </w:rPr>
              <w:fldChar w:fldCharType="end"/>
            </w:r>
          </w:hyperlink>
        </w:p>
        <w:p w:rsidR="007C5F27" w:rsidRDefault="00C51B53">
          <w:pPr>
            <w:pStyle w:val="TOC2"/>
            <w:rPr>
              <w:rFonts w:eastAsiaTheme="minorEastAsia"/>
              <w:noProof/>
              <w:lang w:eastAsia="en-AU"/>
            </w:rPr>
          </w:pPr>
          <w:hyperlink w:anchor="_Toc50909451" w:history="1">
            <w:r w:rsidR="007C5F27" w:rsidRPr="009F0B72">
              <w:rPr>
                <w:rStyle w:val="Hyperlink"/>
                <w:noProof/>
              </w:rPr>
              <w:t>3.1</w:t>
            </w:r>
            <w:r w:rsidR="007C5F27">
              <w:rPr>
                <w:rFonts w:eastAsiaTheme="minorEastAsia"/>
                <w:noProof/>
                <w:lang w:eastAsia="en-AU"/>
              </w:rPr>
              <w:tab/>
            </w:r>
            <w:r w:rsidR="007C5F27" w:rsidRPr="009F0B72">
              <w:rPr>
                <w:rStyle w:val="Hyperlink"/>
                <w:noProof/>
              </w:rPr>
              <w:t>Ensuring sharing data is in the public interest</w:t>
            </w:r>
            <w:r w:rsidR="007C5F27">
              <w:rPr>
                <w:noProof/>
                <w:webHidden/>
              </w:rPr>
              <w:tab/>
            </w:r>
            <w:r w:rsidR="007C5F27">
              <w:rPr>
                <w:noProof/>
                <w:webHidden/>
              </w:rPr>
              <w:fldChar w:fldCharType="begin"/>
            </w:r>
            <w:r w:rsidR="007C5F27">
              <w:rPr>
                <w:noProof/>
                <w:webHidden/>
              </w:rPr>
              <w:instrText xml:space="preserve"> PAGEREF _Toc50909451 \h </w:instrText>
            </w:r>
            <w:r w:rsidR="007C5F27">
              <w:rPr>
                <w:noProof/>
                <w:webHidden/>
              </w:rPr>
            </w:r>
            <w:r w:rsidR="007C5F27">
              <w:rPr>
                <w:noProof/>
                <w:webHidden/>
              </w:rPr>
              <w:fldChar w:fldCharType="separate"/>
            </w:r>
            <w:r w:rsidR="00F533CC">
              <w:rPr>
                <w:noProof/>
                <w:webHidden/>
              </w:rPr>
              <w:t>20</w:t>
            </w:r>
            <w:r w:rsidR="007C5F27">
              <w:rPr>
                <w:noProof/>
                <w:webHidden/>
              </w:rPr>
              <w:fldChar w:fldCharType="end"/>
            </w:r>
          </w:hyperlink>
        </w:p>
        <w:p w:rsidR="007C5F27" w:rsidRDefault="00C51B53">
          <w:pPr>
            <w:pStyle w:val="TOC2"/>
            <w:rPr>
              <w:rFonts w:eastAsiaTheme="minorEastAsia"/>
              <w:noProof/>
              <w:lang w:eastAsia="en-AU"/>
            </w:rPr>
          </w:pPr>
          <w:hyperlink w:anchor="_Toc50909452" w:history="1">
            <w:r w:rsidR="007C5F27" w:rsidRPr="009F0B72">
              <w:rPr>
                <w:rStyle w:val="Hyperlink"/>
                <w:noProof/>
              </w:rPr>
              <w:t>3.2</w:t>
            </w:r>
            <w:r w:rsidR="007C5F27">
              <w:rPr>
                <w:rFonts w:eastAsiaTheme="minorEastAsia"/>
                <w:noProof/>
                <w:lang w:eastAsia="en-AU"/>
              </w:rPr>
              <w:tab/>
            </w:r>
            <w:r w:rsidR="007C5F27" w:rsidRPr="009F0B72">
              <w:rPr>
                <w:rStyle w:val="Hyperlink"/>
                <w:noProof/>
              </w:rPr>
              <w:t>Projects must observe applicable ethics processes</w:t>
            </w:r>
            <w:r w:rsidR="007C5F27">
              <w:rPr>
                <w:noProof/>
                <w:webHidden/>
              </w:rPr>
              <w:tab/>
            </w:r>
            <w:r w:rsidR="007C5F27">
              <w:rPr>
                <w:noProof/>
                <w:webHidden/>
              </w:rPr>
              <w:fldChar w:fldCharType="begin"/>
            </w:r>
            <w:r w:rsidR="007C5F27">
              <w:rPr>
                <w:noProof/>
                <w:webHidden/>
              </w:rPr>
              <w:instrText xml:space="preserve"> PAGEREF _Toc50909452 \h </w:instrText>
            </w:r>
            <w:r w:rsidR="007C5F27">
              <w:rPr>
                <w:noProof/>
                <w:webHidden/>
              </w:rPr>
            </w:r>
            <w:r w:rsidR="007C5F27">
              <w:rPr>
                <w:noProof/>
                <w:webHidden/>
              </w:rPr>
              <w:fldChar w:fldCharType="separate"/>
            </w:r>
            <w:r w:rsidR="00F533CC">
              <w:rPr>
                <w:noProof/>
                <w:webHidden/>
              </w:rPr>
              <w:t>21</w:t>
            </w:r>
            <w:r w:rsidR="007C5F27">
              <w:rPr>
                <w:noProof/>
                <w:webHidden/>
              </w:rPr>
              <w:fldChar w:fldCharType="end"/>
            </w:r>
          </w:hyperlink>
        </w:p>
        <w:p w:rsidR="007C5F27" w:rsidRDefault="00C51B53">
          <w:pPr>
            <w:pStyle w:val="TOC2"/>
            <w:rPr>
              <w:rFonts w:eastAsiaTheme="minorEastAsia"/>
              <w:noProof/>
              <w:lang w:eastAsia="en-AU"/>
            </w:rPr>
          </w:pPr>
          <w:hyperlink w:anchor="_Toc50909453" w:history="1">
            <w:r w:rsidR="007C5F27" w:rsidRPr="009F0B72">
              <w:rPr>
                <w:rStyle w:val="Hyperlink"/>
                <w:noProof/>
              </w:rPr>
              <w:t>3.3</w:t>
            </w:r>
            <w:r w:rsidR="007C5F27">
              <w:rPr>
                <w:rFonts w:eastAsiaTheme="minorEastAsia"/>
                <w:noProof/>
                <w:lang w:eastAsia="en-AU"/>
              </w:rPr>
              <w:tab/>
            </w:r>
            <w:r w:rsidR="007C5F27" w:rsidRPr="009F0B72">
              <w:rPr>
                <w:rStyle w:val="Hyperlink"/>
                <w:noProof/>
              </w:rPr>
              <w:t>Consent is necessary unless it is unreasonable or impracticable to obtain</w:t>
            </w:r>
            <w:r w:rsidR="007C5F27">
              <w:rPr>
                <w:noProof/>
                <w:webHidden/>
              </w:rPr>
              <w:tab/>
            </w:r>
            <w:r w:rsidR="007C5F27">
              <w:rPr>
                <w:noProof/>
                <w:webHidden/>
              </w:rPr>
              <w:fldChar w:fldCharType="begin"/>
            </w:r>
            <w:r w:rsidR="007C5F27">
              <w:rPr>
                <w:noProof/>
                <w:webHidden/>
              </w:rPr>
              <w:instrText xml:space="preserve"> PAGEREF _Toc50909453 \h </w:instrText>
            </w:r>
            <w:r w:rsidR="007C5F27">
              <w:rPr>
                <w:noProof/>
                <w:webHidden/>
              </w:rPr>
            </w:r>
            <w:r w:rsidR="007C5F27">
              <w:rPr>
                <w:noProof/>
                <w:webHidden/>
              </w:rPr>
              <w:fldChar w:fldCharType="separate"/>
            </w:r>
            <w:r w:rsidR="00F533CC">
              <w:rPr>
                <w:noProof/>
                <w:webHidden/>
              </w:rPr>
              <w:t>22</w:t>
            </w:r>
            <w:r w:rsidR="007C5F27">
              <w:rPr>
                <w:noProof/>
                <w:webHidden/>
              </w:rPr>
              <w:fldChar w:fldCharType="end"/>
            </w:r>
          </w:hyperlink>
        </w:p>
        <w:p w:rsidR="007C5F27" w:rsidRDefault="00C51B53">
          <w:pPr>
            <w:pStyle w:val="TOC2"/>
            <w:rPr>
              <w:rFonts w:eastAsiaTheme="minorEastAsia"/>
              <w:noProof/>
              <w:lang w:eastAsia="en-AU"/>
            </w:rPr>
          </w:pPr>
          <w:hyperlink w:anchor="_Toc50909454" w:history="1">
            <w:r w:rsidR="007C5F27" w:rsidRPr="009F0B72">
              <w:rPr>
                <w:rStyle w:val="Hyperlink"/>
                <w:noProof/>
              </w:rPr>
              <w:t>3.4</w:t>
            </w:r>
            <w:r w:rsidR="007C5F27">
              <w:rPr>
                <w:rFonts w:eastAsiaTheme="minorEastAsia"/>
                <w:noProof/>
                <w:lang w:eastAsia="en-AU"/>
              </w:rPr>
              <w:tab/>
            </w:r>
            <w:r w:rsidR="007C5F27" w:rsidRPr="009F0B72">
              <w:rPr>
                <w:rStyle w:val="Hyperlink"/>
                <w:noProof/>
              </w:rPr>
              <w:t>Data provided to individuals for validation and control</w:t>
            </w:r>
            <w:r w:rsidR="007C5F27">
              <w:rPr>
                <w:noProof/>
                <w:webHidden/>
              </w:rPr>
              <w:tab/>
            </w:r>
            <w:r w:rsidR="007C5F27">
              <w:rPr>
                <w:noProof/>
                <w:webHidden/>
              </w:rPr>
              <w:fldChar w:fldCharType="begin"/>
            </w:r>
            <w:r w:rsidR="007C5F27">
              <w:rPr>
                <w:noProof/>
                <w:webHidden/>
              </w:rPr>
              <w:instrText xml:space="preserve"> PAGEREF _Toc50909454 \h </w:instrText>
            </w:r>
            <w:r w:rsidR="007C5F27">
              <w:rPr>
                <w:noProof/>
                <w:webHidden/>
              </w:rPr>
            </w:r>
            <w:r w:rsidR="007C5F27">
              <w:rPr>
                <w:noProof/>
                <w:webHidden/>
              </w:rPr>
              <w:fldChar w:fldCharType="separate"/>
            </w:r>
            <w:r w:rsidR="00F533CC">
              <w:rPr>
                <w:noProof/>
                <w:webHidden/>
              </w:rPr>
              <w:t>23</w:t>
            </w:r>
            <w:r w:rsidR="007C5F27">
              <w:rPr>
                <w:noProof/>
                <w:webHidden/>
              </w:rPr>
              <w:fldChar w:fldCharType="end"/>
            </w:r>
          </w:hyperlink>
        </w:p>
        <w:p w:rsidR="007C5F27" w:rsidRDefault="00C51B53">
          <w:pPr>
            <w:pStyle w:val="TOC2"/>
            <w:rPr>
              <w:rFonts w:eastAsiaTheme="minorEastAsia"/>
              <w:noProof/>
              <w:lang w:eastAsia="en-AU"/>
            </w:rPr>
          </w:pPr>
          <w:hyperlink w:anchor="_Toc50909455" w:history="1">
            <w:r w:rsidR="007C5F27" w:rsidRPr="009F0B72">
              <w:rPr>
                <w:rStyle w:val="Hyperlink"/>
                <w:noProof/>
              </w:rPr>
              <w:t>3.5</w:t>
            </w:r>
            <w:r w:rsidR="007C5F27">
              <w:rPr>
                <w:rFonts w:eastAsiaTheme="minorEastAsia"/>
                <w:noProof/>
                <w:lang w:eastAsia="en-AU"/>
              </w:rPr>
              <w:tab/>
            </w:r>
            <w:r w:rsidR="007C5F27" w:rsidRPr="009F0B72">
              <w:rPr>
                <w:rStyle w:val="Hyperlink"/>
                <w:noProof/>
              </w:rPr>
              <w:t>Protecting the rights and interests of Aboriginal and Torres Strait Islander peoples</w:t>
            </w:r>
            <w:r w:rsidR="007C5F27">
              <w:rPr>
                <w:noProof/>
                <w:webHidden/>
              </w:rPr>
              <w:tab/>
            </w:r>
            <w:r w:rsidR="007C5F27">
              <w:rPr>
                <w:noProof/>
                <w:webHidden/>
              </w:rPr>
              <w:fldChar w:fldCharType="begin"/>
            </w:r>
            <w:r w:rsidR="007C5F27">
              <w:rPr>
                <w:noProof/>
                <w:webHidden/>
              </w:rPr>
              <w:instrText xml:space="preserve"> PAGEREF _Toc50909455 \h </w:instrText>
            </w:r>
            <w:r w:rsidR="007C5F27">
              <w:rPr>
                <w:noProof/>
                <w:webHidden/>
              </w:rPr>
            </w:r>
            <w:r w:rsidR="007C5F27">
              <w:rPr>
                <w:noProof/>
                <w:webHidden/>
              </w:rPr>
              <w:fldChar w:fldCharType="separate"/>
            </w:r>
            <w:r w:rsidR="00F533CC">
              <w:rPr>
                <w:noProof/>
                <w:webHidden/>
              </w:rPr>
              <w:t>23</w:t>
            </w:r>
            <w:r w:rsidR="007C5F27">
              <w:rPr>
                <w:noProof/>
                <w:webHidden/>
              </w:rPr>
              <w:fldChar w:fldCharType="end"/>
            </w:r>
          </w:hyperlink>
        </w:p>
        <w:p w:rsidR="007C5F27" w:rsidRDefault="00C51B53">
          <w:pPr>
            <w:pStyle w:val="TOC2"/>
            <w:rPr>
              <w:rFonts w:eastAsiaTheme="minorEastAsia"/>
              <w:noProof/>
              <w:lang w:eastAsia="en-AU"/>
            </w:rPr>
          </w:pPr>
          <w:hyperlink w:anchor="_Toc50909456" w:history="1">
            <w:r w:rsidR="007C5F27" w:rsidRPr="009F0B72">
              <w:rPr>
                <w:rStyle w:val="Hyperlink"/>
                <w:noProof/>
              </w:rPr>
              <w:t>3.6</w:t>
            </w:r>
            <w:r w:rsidR="007C5F27">
              <w:rPr>
                <w:rFonts w:eastAsiaTheme="minorEastAsia"/>
                <w:noProof/>
                <w:lang w:eastAsia="en-AU"/>
              </w:rPr>
              <w:tab/>
            </w:r>
            <w:r w:rsidR="007C5F27" w:rsidRPr="009F0B72">
              <w:rPr>
                <w:rStyle w:val="Hyperlink"/>
                <w:noProof/>
              </w:rPr>
              <w:t>Data may be used for commercial applications when it is in the public interest</w:t>
            </w:r>
            <w:r w:rsidR="007C5F27">
              <w:rPr>
                <w:noProof/>
                <w:webHidden/>
              </w:rPr>
              <w:tab/>
            </w:r>
            <w:r w:rsidR="007C5F27">
              <w:rPr>
                <w:noProof/>
                <w:webHidden/>
              </w:rPr>
              <w:fldChar w:fldCharType="begin"/>
            </w:r>
            <w:r w:rsidR="007C5F27">
              <w:rPr>
                <w:noProof/>
                <w:webHidden/>
              </w:rPr>
              <w:instrText xml:space="preserve"> PAGEREF _Toc50909456 \h </w:instrText>
            </w:r>
            <w:r w:rsidR="007C5F27">
              <w:rPr>
                <w:noProof/>
                <w:webHidden/>
              </w:rPr>
            </w:r>
            <w:r w:rsidR="007C5F27">
              <w:rPr>
                <w:noProof/>
                <w:webHidden/>
              </w:rPr>
              <w:fldChar w:fldCharType="separate"/>
            </w:r>
            <w:r w:rsidR="00F533CC">
              <w:rPr>
                <w:noProof/>
                <w:webHidden/>
              </w:rPr>
              <w:t>24</w:t>
            </w:r>
            <w:r w:rsidR="007C5F27">
              <w:rPr>
                <w:noProof/>
                <w:webHidden/>
              </w:rPr>
              <w:fldChar w:fldCharType="end"/>
            </w:r>
          </w:hyperlink>
        </w:p>
        <w:p w:rsidR="007C5F27" w:rsidRDefault="00C51B53">
          <w:pPr>
            <w:pStyle w:val="TOC2"/>
            <w:rPr>
              <w:rFonts w:eastAsiaTheme="minorEastAsia"/>
              <w:noProof/>
              <w:lang w:eastAsia="en-AU"/>
            </w:rPr>
          </w:pPr>
          <w:hyperlink w:anchor="_Toc50909457" w:history="1">
            <w:r w:rsidR="007C5F27" w:rsidRPr="009F0B72">
              <w:rPr>
                <w:rStyle w:val="Hyperlink"/>
                <w:noProof/>
              </w:rPr>
              <w:t>3.7</w:t>
            </w:r>
            <w:r w:rsidR="007C5F27">
              <w:rPr>
                <w:rFonts w:eastAsiaTheme="minorEastAsia"/>
                <w:noProof/>
                <w:lang w:eastAsia="en-AU"/>
              </w:rPr>
              <w:tab/>
            </w:r>
            <w:r w:rsidR="007C5F27" w:rsidRPr="009F0B72">
              <w:rPr>
                <w:rStyle w:val="Hyperlink"/>
                <w:noProof/>
              </w:rPr>
              <w:t>Security of the data sharing scheme</w:t>
            </w:r>
            <w:r w:rsidR="007C5F27">
              <w:rPr>
                <w:noProof/>
                <w:webHidden/>
              </w:rPr>
              <w:tab/>
            </w:r>
            <w:r w:rsidR="007C5F27">
              <w:rPr>
                <w:noProof/>
                <w:webHidden/>
              </w:rPr>
              <w:fldChar w:fldCharType="begin"/>
            </w:r>
            <w:r w:rsidR="007C5F27">
              <w:rPr>
                <w:noProof/>
                <w:webHidden/>
              </w:rPr>
              <w:instrText xml:space="preserve"> PAGEREF _Toc50909457 \h </w:instrText>
            </w:r>
            <w:r w:rsidR="007C5F27">
              <w:rPr>
                <w:noProof/>
                <w:webHidden/>
              </w:rPr>
            </w:r>
            <w:r w:rsidR="007C5F27">
              <w:rPr>
                <w:noProof/>
                <w:webHidden/>
              </w:rPr>
              <w:fldChar w:fldCharType="separate"/>
            </w:r>
            <w:r w:rsidR="00F533CC">
              <w:rPr>
                <w:noProof/>
                <w:webHidden/>
              </w:rPr>
              <w:t>25</w:t>
            </w:r>
            <w:r w:rsidR="007C5F27">
              <w:rPr>
                <w:noProof/>
                <w:webHidden/>
              </w:rPr>
              <w:fldChar w:fldCharType="end"/>
            </w:r>
          </w:hyperlink>
        </w:p>
        <w:p w:rsidR="007C5F27" w:rsidRDefault="00C51B53">
          <w:pPr>
            <w:pStyle w:val="TOC1"/>
            <w:tabs>
              <w:tab w:val="left" w:pos="440"/>
              <w:tab w:val="right" w:leader="dot" w:pos="9016"/>
            </w:tabs>
            <w:rPr>
              <w:rFonts w:eastAsiaTheme="minorEastAsia"/>
              <w:noProof/>
              <w:lang w:eastAsia="en-AU"/>
            </w:rPr>
          </w:pPr>
          <w:hyperlink w:anchor="_Toc50909458" w:history="1">
            <w:r w:rsidR="007C5F27" w:rsidRPr="009F0B72">
              <w:rPr>
                <w:rStyle w:val="Hyperlink"/>
                <w:noProof/>
              </w:rPr>
              <w:t>4.</w:t>
            </w:r>
            <w:r w:rsidR="007C5F27">
              <w:rPr>
                <w:rFonts w:eastAsiaTheme="minorEastAsia"/>
                <w:noProof/>
                <w:lang w:eastAsia="en-AU"/>
              </w:rPr>
              <w:tab/>
            </w:r>
            <w:r w:rsidR="007C5F27" w:rsidRPr="009F0B72">
              <w:rPr>
                <w:rStyle w:val="Hyperlink"/>
                <w:noProof/>
              </w:rPr>
              <w:t>Conclusion and next steps</w:t>
            </w:r>
            <w:r w:rsidR="007C5F27">
              <w:rPr>
                <w:noProof/>
                <w:webHidden/>
              </w:rPr>
              <w:tab/>
            </w:r>
            <w:r w:rsidR="007C5F27">
              <w:rPr>
                <w:noProof/>
                <w:webHidden/>
              </w:rPr>
              <w:fldChar w:fldCharType="begin"/>
            </w:r>
            <w:r w:rsidR="007C5F27">
              <w:rPr>
                <w:noProof/>
                <w:webHidden/>
              </w:rPr>
              <w:instrText xml:space="preserve"> PAGEREF _Toc50909458 \h </w:instrText>
            </w:r>
            <w:r w:rsidR="007C5F27">
              <w:rPr>
                <w:noProof/>
                <w:webHidden/>
              </w:rPr>
            </w:r>
            <w:r w:rsidR="007C5F27">
              <w:rPr>
                <w:noProof/>
                <w:webHidden/>
              </w:rPr>
              <w:fldChar w:fldCharType="separate"/>
            </w:r>
            <w:r w:rsidR="00F533CC">
              <w:rPr>
                <w:noProof/>
                <w:webHidden/>
              </w:rPr>
              <w:t>27</w:t>
            </w:r>
            <w:r w:rsidR="007C5F27">
              <w:rPr>
                <w:noProof/>
                <w:webHidden/>
              </w:rPr>
              <w:fldChar w:fldCharType="end"/>
            </w:r>
          </w:hyperlink>
        </w:p>
        <w:p w:rsidR="007C5F27" w:rsidRDefault="00C51B53">
          <w:pPr>
            <w:pStyle w:val="TOC2"/>
            <w:rPr>
              <w:rFonts w:eastAsiaTheme="minorEastAsia"/>
              <w:noProof/>
              <w:lang w:eastAsia="en-AU"/>
            </w:rPr>
          </w:pPr>
          <w:hyperlink w:anchor="_Toc50909459" w:history="1">
            <w:r w:rsidR="007C5F27" w:rsidRPr="009F0B72">
              <w:rPr>
                <w:rStyle w:val="Hyperlink"/>
                <w:noProof/>
              </w:rPr>
              <w:t>4.1</w:t>
            </w:r>
            <w:r w:rsidR="007C5F27">
              <w:rPr>
                <w:rFonts w:eastAsiaTheme="minorEastAsia"/>
                <w:noProof/>
                <w:lang w:eastAsia="en-AU"/>
              </w:rPr>
              <w:tab/>
            </w:r>
            <w:r w:rsidR="007C5F27" w:rsidRPr="009F0B72">
              <w:rPr>
                <w:rStyle w:val="Hyperlink"/>
                <w:noProof/>
              </w:rPr>
              <w:t>Implementing the legislation through Guidelines, guidance and operational systems</w:t>
            </w:r>
            <w:r w:rsidR="007C5F27">
              <w:rPr>
                <w:noProof/>
                <w:webHidden/>
              </w:rPr>
              <w:tab/>
            </w:r>
            <w:r w:rsidR="007C5F27">
              <w:rPr>
                <w:noProof/>
                <w:webHidden/>
              </w:rPr>
              <w:fldChar w:fldCharType="begin"/>
            </w:r>
            <w:r w:rsidR="007C5F27">
              <w:rPr>
                <w:noProof/>
                <w:webHidden/>
              </w:rPr>
              <w:instrText xml:space="preserve"> PAGEREF _Toc50909459 \h </w:instrText>
            </w:r>
            <w:r w:rsidR="007C5F27">
              <w:rPr>
                <w:noProof/>
                <w:webHidden/>
              </w:rPr>
            </w:r>
            <w:r w:rsidR="007C5F27">
              <w:rPr>
                <w:noProof/>
                <w:webHidden/>
              </w:rPr>
              <w:fldChar w:fldCharType="separate"/>
            </w:r>
            <w:r w:rsidR="00F533CC">
              <w:rPr>
                <w:noProof/>
                <w:webHidden/>
              </w:rPr>
              <w:t>27</w:t>
            </w:r>
            <w:r w:rsidR="007C5F27">
              <w:rPr>
                <w:noProof/>
                <w:webHidden/>
              </w:rPr>
              <w:fldChar w:fldCharType="end"/>
            </w:r>
          </w:hyperlink>
        </w:p>
        <w:p w:rsidR="007C5F27" w:rsidRDefault="00C51B53">
          <w:pPr>
            <w:pStyle w:val="TOC1"/>
            <w:tabs>
              <w:tab w:val="right" w:leader="dot" w:pos="9016"/>
            </w:tabs>
            <w:rPr>
              <w:rFonts w:eastAsiaTheme="minorEastAsia"/>
              <w:noProof/>
              <w:lang w:eastAsia="en-AU"/>
            </w:rPr>
          </w:pPr>
          <w:hyperlink w:anchor="_Toc50909460" w:history="1">
            <w:r w:rsidR="007C5F27" w:rsidRPr="009F0B72">
              <w:rPr>
                <w:rStyle w:val="Hyperlink"/>
                <w:noProof/>
              </w:rPr>
              <w:t>Appendix A</w:t>
            </w:r>
            <w:r w:rsidR="007C5F27">
              <w:rPr>
                <w:noProof/>
                <w:webHidden/>
              </w:rPr>
              <w:tab/>
            </w:r>
            <w:r w:rsidR="007C5F27">
              <w:rPr>
                <w:noProof/>
                <w:webHidden/>
              </w:rPr>
              <w:fldChar w:fldCharType="begin"/>
            </w:r>
            <w:r w:rsidR="007C5F27">
              <w:rPr>
                <w:noProof/>
                <w:webHidden/>
              </w:rPr>
              <w:instrText xml:space="preserve"> PAGEREF _Toc50909460 \h </w:instrText>
            </w:r>
            <w:r w:rsidR="007C5F27">
              <w:rPr>
                <w:noProof/>
                <w:webHidden/>
              </w:rPr>
            </w:r>
            <w:r w:rsidR="007C5F27">
              <w:rPr>
                <w:noProof/>
                <w:webHidden/>
              </w:rPr>
              <w:fldChar w:fldCharType="separate"/>
            </w:r>
            <w:r w:rsidR="00F533CC">
              <w:rPr>
                <w:noProof/>
                <w:webHidden/>
              </w:rPr>
              <w:t>28</w:t>
            </w:r>
            <w:r w:rsidR="007C5F27">
              <w:rPr>
                <w:noProof/>
                <w:webHidden/>
              </w:rPr>
              <w:fldChar w:fldCharType="end"/>
            </w:r>
          </w:hyperlink>
        </w:p>
        <w:p w:rsidR="00F60F18" w:rsidRDefault="00F60F18">
          <w:r>
            <w:rPr>
              <w:b/>
              <w:bCs/>
              <w:noProof/>
            </w:rPr>
            <w:fldChar w:fldCharType="end"/>
          </w:r>
        </w:p>
      </w:sdtContent>
    </w:sdt>
    <w:bookmarkEnd w:id="0"/>
    <w:bookmarkEnd w:id="1"/>
    <w:bookmarkEnd w:id="2"/>
    <w:bookmarkEnd w:id="3"/>
    <w:p w:rsidR="002F1A50" w:rsidRPr="002F1A50" w:rsidRDefault="002F1A50">
      <w:pPr>
        <w:spacing w:after="160" w:line="259" w:lineRule="auto"/>
      </w:pPr>
    </w:p>
    <w:p w:rsidR="000A5C1D" w:rsidRPr="006E6F44" w:rsidRDefault="000A5C1D" w:rsidP="00FF3F1D">
      <w:pPr>
        <w:pStyle w:val="Heading1"/>
        <w:numPr>
          <w:ilvl w:val="0"/>
          <w:numId w:val="1"/>
        </w:numPr>
        <w:rPr>
          <w:noProof/>
          <w:lang w:eastAsia="en-AU"/>
        </w:rPr>
      </w:pPr>
      <w:bookmarkStart w:id="23" w:name="_Toc49965666"/>
      <w:bookmarkStart w:id="24" w:name="_Toc49968326"/>
      <w:bookmarkStart w:id="25" w:name="_Toc49970763"/>
      <w:bookmarkStart w:id="26" w:name="_Toc50909430"/>
      <w:r w:rsidRPr="006E6F44">
        <w:t>Overview</w:t>
      </w:r>
      <w:bookmarkStart w:id="27" w:name="_Toc46911583"/>
      <w:bookmarkStart w:id="28" w:name="_Toc46920819"/>
      <w:bookmarkStart w:id="29" w:name="_Toc46921119"/>
      <w:bookmarkStart w:id="30" w:name="_Toc46924378"/>
      <w:bookmarkEnd w:id="23"/>
      <w:bookmarkEnd w:id="24"/>
      <w:bookmarkEnd w:id="25"/>
      <w:bookmarkEnd w:id="26"/>
    </w:p>
    <w:p w:rsidR="000A5C1D" w:rsidRDefault="000A5C1D" w:rsidP="00FF3F1D">
      <w:pPr>
        <w:rPr>
          <w:lang w:eastAsia="en-AU"/>
        </w:rPr>
      </w:pPr>
      <w:r>
        <w:rPr>
          <w:lang w:eastAsia="en-AU"/>
        </w:rPr>
        <w:t>The</w:t>
      </w:r>
      <w:r w:rsidR="00374639">
        <w:rPr>
          <w:lang w:eastAsia="en-AU"/>
        </w:rPr>
        <w:t xml:space="preserve"> Exposure Draft of the</w:t>
      </w:r>
      <w:r>
        <w:rPr>
          <w:lang w:eastAsia="en-AU"/>
        </w:rPr>
        <w:t xml:space="preserve"> </w:t>
      </w:r>
      <w:r w:rsidRPr="005150C7">
        <w:rPr>
          <w:lang w:eastAsia="en-AU"/>
        </w:rPr>
        <w:t>Data Availability and Transparency Bill</w:t>
      </w:r>
      <w:r>
        <w:rPr>
          <w:lang w:eastAsia="en-AU"/>
        </w:rPr>
        <w:t xml:space="preserve"> </w:t>
      </w:r>
      <w:r w:rsidR="00374639">
        <w:rPr>
          <w:lang w:eastAsia="en-AU"/>
        </w:rPr>
        <w:t>2020</w:t>
      </w:r>
      <w:r>
        <w:rPr>
          <w:lang w:eastAsia="en-AU"/>
        </w:rPr>
        <w:t xml:space="preserve"> </w:t>
      </w:r>
      <w:r w:rsidR="007B796F">
        <w:rPr>
          <w:lang w:eastAsia="en-AU"/>
        </w:rPr>
        <w:t>(the Bill)</w:t>
      </w:r>
      <w:r>
        <w:rPr>
          <w:lang w:eastAsia="en-AU"/>
        </w:rPr>
        <w:t xml:space="preserve"> </w:t>
      </w:r>
      <w:r w:rsidR="005D2B8F">
        <w:rPr>
          <w:lang w:eastAsia="en-AU"/>
        </w:rPr>
        <w:t>i</w:t>
      </w:r>
      <w:r>
        <w:rPr>
          <w:lang w:eastAsia="en-AU"/>
        </w:rPr>
        <w:t xml:space="preserve">s a step towards modernising the use of </w:t>
      </w:r>
      <w:r w:rsidR="005D2B8F">
        <w:rPr>
          <w:lang w:eastAsia="en-AU"/>
        </w:rPr>
        <w:t>data held by the Australian Government</w:t>
      </w:r>
      <w:r>
        <w:rPr>
          <w:lang w:eastAsia="en-AU"/>
        </w:rPr>
        <w:t xml:space="preserve">. This consultation paper </w:t>
      </w:r>
      <w:r w:rsidR="004C1FCF">
        <w:rPr>
          <w:lang w:eastAsia="en-AU"/>
        </w:rPr>
        <w:t xml:space="preserve">provides </w:t>
      </w:r>
      <w:r>
        <w:rPr>
          <w:lang w:eastAsia="en-AU"/>
        </w:rPr>
        <w:t>a</w:t>
      </w:r>
      <w:r w:rsidR="00F05101">
        <w:rPr>
          <w:lang w:eastAsia="en-AU"/>
        </w:rPr>
        <w:t>n</w:t>
      </w:r>
      <w:r>
        <w:rPr>
          <w:lang w:eastAsia="en-AU"/>
        </w:rPr>
        <w:t xml:space="preserve"> </w:t>
      </w:r>
      <w:r w:rsidR="005D2B8F">
        <w:rPr>
          <w:lang w:eastAsia="en-AU"/>
        </w:rPr>
        <w:t>over</w:t>
      </w:r>
      <w:r>
        <w:rPr>
          <w:lang w:eastAsia="en-AU"/>
        </w:rPr>
        <w:t>view of the materials presented as part of</w:t>
      </w:r>
      <w:r w:rsidR="000F279C">
        <w:rPr>
          <w:lang w:eastAsia="en-AU"/>
        </w:rPr>
        <w:t xml:space="preserve"> the</w:t>
      </w:r>
      <w:r>
        <w:rPr>
          <w:lang w:eastAsia="en-AU"/>
        </w:rPr>
        <w:t xml:space="preserve"> </w:t>
      </w:r>
      <w:r w:rsidR="002615D6">
        <w:rPr>
          <w:lang w:eastAsia="en-AU"/>
        </w:rPr>
        <w:t>consultation on</w:t>
      </w:r>
      <w:r>
        <w:rPr>
          <w:lang w:eastAsia="en-AU"/>
        </w:rPr>
        <w:t xml:space="preserve"> the</w:t>
      </w:r>
      <w:r w:rsidR="00E44BEB">
        <w:rPr>
          <w:lang w:eastAsia="en-AU"/>
        </w:rPr>
        <w:t xml:space="preserve"> Exposure Draft</w:t>
      </w:r>
      <w:r w:rsidR="00374639">
        <w:rPr>
          <w:lang w:eastAsia="en-AU"/>
        </w:rPr>
        <w:t>.</w:t>
      </w:r>
      <w:r w:rsidR="005D2B8F">
        <w:rPr>
          <w:rStyle w:val="FootnoteReference"/>
          <w:lang w:eastAsia="en-AU"/>
        </w:rPr>
        <w:footnoteReference w:id="2"/>
      </w:r>
      <w:r>
        <w:rPr>
          <w:lang w:eastAsia="en-AU"/>
        </w:rPr>
        <w:t xml:space="preserve"> </w:t>
      </w:r>
      <w:r w:rsidR="004C1FCF">
        <w:rPr>
          <w:lang w:eastAsia="en-AU"/>
        </w:rPr>
        <w:t>Submissions</w:t>
      </w:r>
      <w:r w:rsidR="00071145">
        <w:rPr>
          <w:lang w:eastAsia="en-AU"/>
        </w:rPr>
        <w:t xml:space="preserve"> </w:t>
      </w:r>
      <w:r>
        <w:rPr>
          <w:lang w:eastAsia="en-AU"/>
        </w:rPr>
        <w:t>on the Bill</w:t>
      </w:r>
      <w:r w:rsidR="00B11BDB">
        <w:rPr>
          <w:lang w:eastAsia="en-AU"/>
        </w:rPr>
        <w:t xml:space="preserve"> and associated </w:t>
      </w:r>
      <w:r>
        <w:rPr>
          <w:lang w:eastAsia="en-AU"/>
        </w:rPr>
        <w:t xml:space="preserve">materials </w:t>
      </w:r>
      <w:r w:rsidR="00071145">
        <w:rPr>
          <w:lang w:eastAsia="en-AU"/>
        </w:rPr>
        <w:t xml:space="preserve">are requested by </w:t>
      </w:r>
      <w:r w:rsidR="003D37D0" w:rsidRPr="001E2C98">
        <w:rPr>
          <w:lang w:eastAsia="en-AU"/>
        </w:rPr>
        <w:t>6</w:t>
      </w:r>
      <w:r w:rsidR="00071145" w:rsidRPr="001E2C98">
        <w:rPr>
          <w:lang w:eastAsia="en-AU"/>
        </w:rPr>
        <w:t xml:space="preserve"> November</w:t>
      </w:r>
      <w:r w:rsidR="00071145">
        <w:rPr>
          <w:lang w:eastAsia="en-AU"/>
        </w:rPr>
        <w:t xml:space="preserve"> </w:t>
      </w:r>
      <w:r w:rsidR="007B796F">
        <w:rPr>
          <w:lang w:eastAsia="en-AU"/>
        </w:rPr>
        <w:t>2020</w:t>
      </w:r>
      <w:r w:rsidR="00071145">
        <w:rPr>
          <w:lang w:eastAsia="en-AU"/>
        </w:rPr>
        <w:t xml:space="preserve"> </w:t>
      </w:r>
      <w:r w:rsidR="005D2B8F">
        <w:rPr>
          <w:lang w:eastAsia="en-AU"/>
        </w:rPr>
        <w:t xml:space="preserve">for the Office of the National Data Commissioner to consider </w:t>
      </w:r>
      <w:r w:rsidR="00717A4F">
        <w:rPr>
          <w:lang w:eastAsia="en-AU"/>
        </w:rPr>
        <w:t xml:space="preserve">ahead of </w:t>
      </w:r>
      <w:r w:rsidR="00071145">
        <w:rPr>
          <w:lang w:eastAsia="en-AU"/>
        </w:rPr>
        <w:t xml:space="preserve">Parliamentary consideration. </w:t>
      </w:r>
    </w:p>
    <w:p w:rsidR="007F7203" w:rsidRDefault="007F7203" w:rsidP="002C4ED0">
      <w:pPr>
        <w:pStyle w:val="Heading2"/>
        <w:numPr>
          <w:ilvl w:val="1"/>
          <w:numId w:val="1"/>
        </w:numPr>
        <w:rPr>
          <w:noProof/>
          <w:lang w:eastAsia="en-AU"/>
        </w:rPr>
      </w:pPr>
      <w:bookmarkStart w:id="31" w:name="_Toc49965667"/>
      <w:bookmarkStart w:id="32" w:name="_Toc49968327"/>
      <w:bookmarkStart w:id="33" w:name="_Toc49970764"/>
      <w:bookmarkStart w:id="34" w:name="_Toc50909431"/>
      <w:r>
        <w:rPr>
          <w:noProof/>
          <w:lang w:eastAsia="en-AU"/>
        </w:rPr>
        <w:t>Modernising</w:t>
      </w:r>
      <w:r w:rsidR="00DE61C4">
        <w:rPr>
          <w:noProof/>
          <w:lang w:eastAsia="en-AU"/>
        </w:rPr>
        <w:t>,</w:t>
      </w:r>
      <w:r w:rsidR="009C5866">
        <w:rPr>
          <w:noProof/>
          <w:lang w:eastAsia="en-AU"/>
        </w:rPr>
        <w:t xml:space="preserve"> </w:t>
      </w:r>
      <w:r>
        <w:rPr>
          <w:noProof/>
          <w:lang w:eastAsia="en-AU"/>
        </w:rPr>
        <w:t>maximising</w:t>
      </w:r>
      <w:r w:rsidR="00DE61C4">
        <w:rPr>
          <w:noProof/>
          <w:lang w:eastAsia="en-AU"/>
        </w:rPr>
        <w:t xml:space="preserve"> and safeguarding</w:t>
      </w:r>
      <w:r>
        <w:rPr>
          <w:noProof/>
          <w:lang w:eastAsia="en-AU"/>
        </w:rPr>
        <w:t xml:space="preserve"> data use will deliver benefits to Australians</w:t>
      </w:r>
      <w:bookmarkEnd w:id="31"/>
      <w:bookmarkEnd w:id="32"/>
      <w:bookmarkEnd w:id="33"/>
      <w:bookmarkEnd w:id="34"/>
    </w:p>
    <w:p w:rsidR="00A974BC" w:rsidRDefault="007F7203" w:rsidP="00A974BC">
      <w:pPr>
        <w:rPr>
          <w:lang w:eastAsia="en-AU"/>
        </w:rPr>
      </w:pPr>
      <w:r>
        <w:rPr>
          <w:lang w:eastAsia="en-AU"/>
        </w:rPr>
        <w:t xml:space="preserve">The Australian Government is committed to modernising how we use public sector data. </w:t>
      </w:r>
      <w:r w:rsidR="00246CA9">
        <w:rPr>
          <w:lang w:eastAsia="en-AU"/>
        </w:rPr>
        <w:t xml:space="preserve">Improving how we share and use this data </w:t>
      </w:r>
      <w:r w:rsidR="003E335E">
        <w:rPr>
          <w:lang w:eastAsia="en-AU"/>
        </w:rPr>
        <w:t>will</w:t>
      </w:r>
      <w:r>
        <w:rPr>
          <w:lang w:eastAsia="en-AU"/>
        </w:rPr>
        <w:t xml:space="preserve"> benefit Australians through </w:t>
      </w:r>
      <w:r w:rsidR="00957E29">
        <w:rPr>
          <w:lang w:eastAsia="en-AU"/>
        </w:rPr>
        <w:t xml:space="preserve">more effective </w:t>
      </w:r>
      <w:r>
        <w:rPr>
          <w:lang w:eastAsia="en-AU"/>
        </w:rPr>
        <w:t>government policies</w:t>
      </w:r>
      <w:r w:rsidR="00246CA9">
        <w:rPr>
          <w:lang w:eastAsia="en-AU"/>
        </w:rPr>
        <w:t>, programs</w:t>
      </w:r>
      <w:r w:rsidR="003B2949">
        <w:rPr>
          <w:lang w:eastAsia="en-AU"/>
        </w:rPr>
        <w:t>,</w:t>
      </w:r>
      <w:r w:rsidR="00246CA9">
        <w:rPr>
          <w:lang w:eastAsia="en-AU"/>
        </w:rPr>
        <w:t xml:space="preserve"> and service delivery</w:t>
      </w:r>
      <w:r w:rsidR="00BD1EB7">
        <w:rPr>
          <w:lang w:eastAsia="en-AU"/>
        </w:rPr>
        <w:t>, and through improved research outcomes</w:t>
      </w:r>
      <w:r w:rsidR="00246CA9">
        <w:rPr>
          <w:lang w:eastAsia="en-AU"/>
        </w:rPr>
        <w:t xml:space="preserve">. </w:t>
      </w:r>
    </w:p>
    <w:p w:rsidR="007F7203" w:rsidRDefault="00A974BC" w:rsidP="00FF3F1D">
      <w:pPr>
        <w:rPr>
          <w:lang w:eastAsia="en-AU"/>
        </w:rPr>
      </w:pPr>
      <w:r>
        <w:rPr>
          <w:rFonts w:ascii="Calibri" w:eastAsia="Times New Roman" w:hAnsi="Calibri" w:cs="Calibri"/>
          <w:lang w:eastAsia="en-AU"/>
        </w:rPr>
        <w:t xml:space="preserve">The 2019-2020 bushfire season </w:t>
      </w:r>
      <w:r w:rsidR="004C3EDE">
        <w:rPr>
          <w:rFonts w:ascii="Calibri" w:eastAsia="Times New Roman" w:hAnsi="Calibri" w:cs="Calibri"/>
          <w:lang w:eastAsia="en-AU"/>
        </w:rPr>
        <w:t xml:space="preserve">demonstrated that </w:t>
      </w:r>
      <w:r>
        <w:rPr>
          <w:rFonts w:ascii="Calibri" w:eastAsia="Times New Roman" w:hAnsi="Calibri" w:cs="Calibri"/>
          <w:lang w:eastAsia="en-AU"/>
        </w:rPr>
        <w:t>the need for a safe, modern</w:t>
      </w:r>
      <w:r w:rsidR="003B2949">
        <w:rPr>
          <w:rFonts w:ascii="Calibri" w:eastAsia="Times New Roman" w:hAnsi="Calibri" w:cs="Calibri"/>
          <w:lang w:eastAsia="en-AU"/>
        </w:rPr>
        <w:t>,</w:t>
      </w:r>
      <w:r>
        <w:rPr>
          <w:rFonts w:ascii="Calibri" w:eastAsia="Times New Roman" w:hAnsi="Calibri" w:cs="Calibri"/>
          <w:lang w:eastAsia="en-AU"/>
        </w:rPr>
        <w:t xml:space="preserve"> and streamlined approach to data sharing is more pressing than ever. In its interim observations published on 31 August 2020, the Royal Commission into Natural Disaster Arrangements noted that improving the availability, quality</w:t>
      </w:r>
      <w:r w:rsidR="003B2949">
        <w:rPr>
          <w:rFonts w:ascii="Calibri" w:eastAsia="Times New Roman" w:hAnsi="Calibri" w:cs="Calibri"/>
          <w:lang w:eastAsia="en-AU"/>
        </w:rPr>
        <w:t>,</w:t>
      </w:r>
      <w:r>
        <w:rPr>
          <w:rFonts w:ascii="Calibri" w:eastAsia="Times New Roman" w:hAnsi="Calibri" w:cs="Calibri"/>
          <w:lang w:eastAsia="en-AU"/>
        </w:rPr>
        <w:t xml:space="preserve"> and comparability of natural disaster information could improve policy and decision making during times of disaster, and improve the delivery of recovery services.</w:t>
      </w:r>
      <w:r>
        <w:rPr>
          <w:rStyle w:val="FootnoteReference"/>
          <w:rFonts w:ascii="Calibri" w:eastAsia="Times New Roman" w:hAnsi="Calibri" w:cs="Calibri"/>
          <w:lang w:eastAsia="en-AU"/>
        </w:rPr>
        <w:footnoteReference w:id="3"/>
      </w:r>
    </w:p>
    <w:p w:rsidR="00A974BC" w:rsidRDefault="00A974BC" w:rsidP="00FF3F1D">
      <w:pPr>
        <w:rPr>
          <w:lang w:eastAsia="en-AU"/>
        </w:rPr>
      </w:pPr>
      <w:r>
        <w:rPr>
          <w:lang w:eastAsia="en-AU"/>
        </w:rPr>
        <w:t xml:space="preserve">The data reforms presented in the </w:t>
      </w:r>
      <w:r w:rsidR="00F3729D">
        <w:rPr>
          <w:lang w:eastAsia="en-AU"/>
        </w:rPr>
        <w:t xml:space="preserve">draft </w:t>
      </w:r>
      <w:r>
        <w:rPr>
          <w:lang w:eastAsia="en-AU"/>
        </w:rPr>
        <w:t xml:space="preserve">Bill </w:t>
      </w:r>
      <w:r w:rsidR="000E77F8">
        <w:rPr>
          <w:lang w:eastAsia="en-AU"/>
        </w:rPr>
        <w:t>are an</w:t>
      </w:r>
      <w:r>
        <w:rPr>
          <w:lang w:eastAsia="en-AU"/>
        </w:rPr>
        <w:t xml:space="preserve"> opportunity to establish a new framework that can proactively assist in designing better services and policies. </w:t>
      </w:r>
      <w:r w:rsidR="00376117">
        <w:rPr>
          <w:lang w:eastAsia="en-AU"/>
        </w:rPr>
        <w:t>The</w:t>
      </w:r>
      <w:r w:rsidR="00747139">
        <w:rPr>
          <w:lang w:eastAsia="en-AU"/>
        </w:rPr>
        <w:t xml:space="preserve"> reforms</w:t>
      </w:r>
      <w:r>
        <w:rPr>
          <w:lang w:eastAsia="en-AU"/>
        </w:rPr>
        <w:t xml:space="preserve"> encourage our academics and </w:t>
      </w:r>
      <w:r w:rsidR="007B796F">
        <w:rPr>
          <w:lang w:eastAsia="en-AU"/>
        </w:rPr>
        <w:t>the</w:t>
      </w:r>
      <w:r>
        <w:rPr>
          <w:lang w:eastAsia="en-AU"/>
        </w:rPr>
        <w:t xml:space="preserve"> research community to innovate </w:t>
      </w:r>
      <w:r>
        <w:rPr>
          <w:lang w:eastAsia="en-AU"/>
        </w:rPr>
        <w:lastRenderedPageBreak/>
        <w:t xml:space="preserve">and find new insights from public sector data without having to go through </w:t>
      </w:r>
      <w:r w:rsidR="007C4C13">
        <w:rPr>
          <w:lang w:eastAsia="en-AU"/>
        </w:rPr>
        <w:t>stifling and vague</w:t>
      </w:r>
      <w:r w:rsidR="00E23B2A">
        <w:rPr>
          <w:lang w:eastAsia="en-AU"/>
        </w:rPr>
        <w:t xml:space="preserve"> </w:t>
      </w:r>
      <w:r>
        <w:rPr>
          <w:lang w:eastAsia="en-AU"/>
        </w:rPr>
        <w:t xml:space="preserve">bureaucratic processes when </w:t>
      </w:r>
      <w:r w:rsidR="00E23B2A">
        <w:rPr>
          <w:lang w:eastAsia="en-AU"/>
        </w:rPr>
        <w:t xml:space="preserve">working </w:t>
      </w:r>
      <w:r>
        <w:rPr>
          <w:lang w:eastAsia="en-AU"/>
        </w:rPr>
        <w:t xml:space="preserve">with data custodians.  </w:t>
      </w:r>
    </w:p>
    <w:p w:rsidR="00392261" w:rsidRDefault="00392261" w:rsidP="00FF3F1D">
      <w:pPr>
        <w:rPr>
          <w:lang w:eastAsia="en-AU"/>
        </w:rPr>
      </w:pPr>
      <w:r>
        <w:rPr>
          <w:lang w:eastAsia="en-AU"/>
        </w:rPr>
        <w:t xml:space="preserve">In 2016, the Productivity </w:t>
      </w:r>
      <w:r w:rsidR="00F05101">
        <w:rPr>
          <w:lang w:eastAsia="en-AU"/>
        </w:rPr>
        <w:t>Commission</w:t>
      </w:r>
      <w:r>
        <w:rPr>
          <w:lang w:eastAsia="en-AU"/>
        </w:rPr>
        <w:t xml:space="preserve"> set out recommendations to unlock the full potential of public sector data</w:t>
      </w:r>
      <w:r w:rsidR="00BD1EB7">
        <w:rPr>
          <w:lang w:eastAsia="en-AU"/>
        </w:rPr>
        <w:t xml:space="preserve"> in Australia</w:t>
      </w:r>
      <w:r>
        <w:rPr>
          <w:lang w:eastAsia="en-AU"/>
        </w:rPr>
        <w:t>.</w:t>
      </w:r>
      <w:r w:rsidR="005D2B8F">
        <w:rPr>
          <w:rStyle w:val="FootnoteReference"/>
          <w:lang w:eastAsia="en-AU"/>
        </w:rPr>
        <w:footnoteReference w:id="4"/>
      </w:r>
      <w:r>
        <w:rPr>
          <w:lang w:eastAsia="en-AU"/>
        </w:rPr>
        <w:t xml:space="preserve"> The Australian Government agreed </w:t>
      </w:r>
      <w:r w:rsidR="008A2E9E">
        <w:rPr>
          <w:lang w:eastAsia="en-AU"/>
        </w:rPr>
        <w:t>change</w:t>
      </w:r>
      <w:r>
        <w:rPr>
          <w:lang w:eastAsia="en-AU"/>
        </w:rPr>
        <w:t xml:space="preserve"> was necessary and committed to reforming the </w:t>
      </w:r>
      <w:r w:rsidR="00971A00">
        <w:rPr>
          <w:lang w:eastAsia="en-AU"/>
        </w:rPr>
        <w:t xml:space="preserve">Commonwealth </w:t>
      </w:r>
      <w:r>
        <w:rPr>
          <w:lang w:eastAsia="en-AU"/>
        </w:rPr>
        <w:t xml:space="preserve">data system, including </w:t>
      </w:r>
      <w:r w:rsidR="005D2B8F">
        <w:rPr>
          <w:lang w:eastAsia="en-AU"/>
        </w:rPr>
        <w:t xml:space="preserve">establishing a National Data Commissioner and </w:t>
      </w:r>
      <w:r>
        <w:rPr>
          <w:lang w:eastAsia="en-AU"/>
        </w:rPr>
        <w:t xml:space="preserve">new </w:t>
      </w:r>
      <w:r w:rsidR="005D2B8F">
        <w:rPr>
          <w:lang w:eastAsia="en-AU"/>
        </w:rPr>
        <w:t xml:space="preserve">data sharing </w:t>
      </w:r>
      <w:r>
        <w:rPr>
          <w:lang w:eastAsia="en-AU"/>
        </w:rPr>
        <w:t>legislation.</w:t>
      </w:r>
      <w:r w:rsidR="005D2B8F">
        <w:rPr>
          <w:rStyle w:val="FootnoteReference"/>
          <w:lang w:eastAsia="en-AU"/>
        </w:rPr>
        <w:footnoteReference w:id="5"/>
      </w:r>
      <w:r>
        <w:rPr>
          <w:lang w:eastAsia="en-AU"/>
        </w:rPr>
        <w:t xml:space="preserve"> </w:t>
      </w:r>
    </w:p>
    <w:p w:rsidR="00694CFE" w:rsidRDefault="00694CFE" w:rsidP="00FF3F1D">
      <w:pPr>
        <w:rPr>
          <w:lang w:eastAsia="en-AU"/>
        </w:rPr>
      </w:pPr>
      <w:r w:rsidRPr="00716C51">
        <w:rPr>
          <w:lang w:eastAsia="en-AU"/>
        </w:rPr>
        <w:t>In 2018</w:t>
      </w:r>
      <w:r w:rsidR="00BD5670">
        <w:rPr>
          <w:lang w:eastAsia="en-AU"/>
        </w:rPr>
        <w:t>,</w:t>
      </w:r>
      <w:r w:rsidRPr="00716C51">
        <w:rPr>
          <w:lang w:eastAsia="en-AU"/>
        </w:rPr>
        <w:t xml:space="preserve"> the Office of the National Data Commissioner was established </w:t>
      </w:r>
      <w:r w:rsidR="00BD5670">
        <w:rPr>
          <w:lang w:eastAsia="en-AU"/>
        </w:rPr>
        <w:t>in</w:t>
      </w:r>
      <w:r w:rsidR="00BD5670" w:rsidRPr="00716C51">
        <w:rPr>
          <w:lang w:eastAsia="en-AU"/>
        </w:rPr>
        <w:t xml:space="preserve"> </w:t>
      </w:r>
      <w:r w:rsidRPr="00716C51">
        <w:rPr>
          <w:lang w:eastAsia="en-AU"/>
        </w:rPr>
        <w:t>the Department of the Prime Minister and Cabinet</w:t>
      </w:r>
      <w:r w:rsidR="005D2B8F">
        <w:rPr>
          <w:lang w:eastAsia="en-AU"/>
        </w:rPr>
        <w:t xml:space="preserve">. </w:t>
      </w:r>
      <w:r w:rsidRPr="00716C51">
        <w:rPr>
          <w:lang w:eastAsia="en-AU"/>
        </w:rPr>
        <w:t>Ms</w:t>
      </w:r>
      <w:r w:rsidR="003B2949">
        <w:rPr>
          <w:lang w:eastAsia="en-AU"/>
        </w:rPr>
        <w:t>.</w:t>
      </w:r>
      <w:r w:rsidRPr="00716C51">
        <w:rPr>
          <w:lang w:eastAsia="en-AU"/>
        </w:rPr>
        <w:t xml:space="preserve"> Deborah Anton was appointed as the interim National Data Commissioner</w:t>
      </w:r>
      <w:r>
        <w:rPr>
          <w:lang w:eastAsia="en-AU"/>
        </w:rPr>
        <w:t xml:space="preserve"> </w:t>
      </w:r>
      <w:r w:rsidRPr="00716C51">
        <w:rPr>
          <w:lang w:eastAsia="en-AU"/>
        </w:rPr>
        <w:t xml:space="preserve">to develop </w:t>
      </w:r>
      <w:r w:rsidR="00EA0E82">
        <w:rPr>
          <w:lang w:eastAsia="en-AU"/>
        </w:rPr>
        <w:t xml:space="preserve">and progress </w:t>
      </w:r>
      <w:r w:rsidRPr="00716C51">
        <w:rPr>
          <w:lang w:eastAsia="en-AU"/>
        </w:rPr>
        <w:t>whole-of-government</w:t>
      </w:r>
      <w:r w:rsidR="00EA0E82">
        <w:rPr>
          <w:lang w:eastAsia="en-AU"/>
        </w:rPr>
        <w:t xml:space="preserve"> reforms to</w:t>
      </w:r>
      <w:r w:rsidRPr="00716C51">
        <w:rPr>
          <w:lang w:eastAsia="en-AU"/>
        </w:rPr>
        <w:t xml:space="preserve"> realise the benefits envisaged by the Productivity Commission.</w:t>
      </w:r>
    </w:p>
    <w:p w:rsidR="002072B5" w:rsidRDefault="00717A4F" w:rsidP="00FF3F1D">
      <w:pPr>
        <w:rPr>
          <w:lang w:eastAsia="en-AU"/>
        </w:rPr>
      </w:pPr>
      <w:r>
        <w:rPr>
          <w:lang w:eastAsia="en-AU"/>
        </w:rPr>
        <w:t>Since its establishment, the Office of the National Data Commissioner’s key task has been to develop legislation</w:t>
      </w:r>
      <w:r>
        <w:rPr>
          <w:i/>
          <w:lang w:eastAsia="en-AU"/>
        </w:rPr>
        <w:t xml:space="preserve"> </w:t>
      </w:r>
      <w:r>
        <w:rPr>
          <w:lang w:eastAsia="en-AU"/>
        </w:rPr>
        <w:t xml:space="preserve">to overcome existing legislative barriers and enable a streamlined, safe, accountable, and transparent pathway to share data. </w:t>
      </w:r>
      <w:r w:rsidR="002072B5">
        <w:rPr>
          <w:noProof/>
          <w:lang w:eastAsia="en-AU"/>
        </w:rPr>
        <w:t xml:space="preserve">This consultation paper provides an overview of the elements of the </w:t>
      </w:r>
      <w:r w:rsidR="004D375D">
        <w:rPr>
          <w:noProof/>
          <w:lang w:eastAsia="en-AU"/>
        </w:rPr>
        <w:t xml:space="preserve">legislation, including the Bill </w:t>
      </w:r>
      <w:r w:rsidR="002072B5">
        <w:rPr>
          <w:noProof/>
          <w:lang w:eastAsia="en-AU"/>
        </w:rPr>
        <w:t>and associated materials</w:t>
      </w:r>
      <w:r w:rsidR="00374639">
        <w:rPr>
          <w:noProof/>
          <w:lang w:eastAsia="en-AU"/>
        </w:rPr>
        <w:t>,</w:t>
      </w:r>
      <w:r w:rsidR="002072B5">
        <w:rPr>
          <w:noProof/>
          <w:lang w:eastAsia="en-AU"/>
        </w:rPr>
        <w:t xml:space="preserve"> for your views.</w:t>
      </w:r>
    </w:p>
    <w:p w:rsidR="00694CFE" w:rsidRDefault="00374639" w:rsidP="00FF3F1D">
      <w:pPr>
        <w:rPr>
          <w:rFonts w:ascii="Calibri" w:eastAsia="Times New Roman" w:hAnsi="Calibri" w:cs="Calibri"/>
          <w:lang w:eastAsia="en-AU"/>
        </w:rPr>
      </w:pPr>
      <w:r>
        <w:rPr>
          <w:lang w:eastAsia="en-AU"/>
        </w:rPr>
        <w:t>The</w:t>
      </w:r>
      <w:r w:rsidR="00694CFE">
        <w:rPr>
          <w:lang w:eastAsia="en-AU"/>
        </w:rPr>
        <w:t xml:space="preserve"> National Data Advisory Council was established in 2019</w:t>
      </w:r>
      <w:r w:rsidR="00EA0E82" w:rsidRPr="00EA0E82">
        <w:rPr>
          <w:lang w:eastAsia="en-AU"/>
        </w:rPr>
        <w:t xml:space="preserve"> </w:t>
      </w:r>
      <w:r w:rsidR="00EA0E82">
        <w:rPr>
          <w:lang w:eastAsia="en-AU"/>
        </w:rPr>
        <w:t xml:space="preserve">to </w:t>
      </w:r>
      <w:r w:rsidR="00E92180">
        <w:rPr>
          <w:lang w:eastAsia="en-AU"/>
        </w:rPr>
        <w:t xml:space="preserve">provide </w:t>
      </w:r>
      <w:r w:rsidR="00EA0E82" w:rsidRPr="00FF3F1D">
        <w:rPr>
          <w:lang w:eastAsia="en-AU"/>
        </w:rPr>
        <w:t>advice to the National Data Commissioner on ethical data use, community expectations, technical best practice, and industry and international developments</w:t>
      </w:r>
      <w:r w:rsidR="00EA0E82">
        <w:rPr>
          <w:lang w:eastAsia="en-AU"/>
        </w:rPr>
        <w:t>.</w:t>
      </w:r>
      <w:r w:rsidR="00EA0E82">
        <w:rPr>
          <w:rStyle w:val="FootnoteReference"/>
          <w:lang w:eastAsia="en-AU"/>
        </w:rPr>
        <w:footnoteReference w:id="6"/>
      </w:r>
      <w:r w:rsidR="00694CFE">
        <w:rPr>
          <w:lang w:eastAsia="en-AU"/>
        </w:rPr>
        <w:t xml:space="preserve"> </w:t>
      </w:r>
      <w:r w:rsidR="00EA0E82">
        <w:rPr>
          <w:lang w:eastAsia="en-AU"/>
        </w:rPr>
        <w:t>M</w:t>
      </w:r>
      <w:r w:rsidR="00694CFE">
        <w:rPr>
          <w:lang w:eastAsia="en-AU"/>
        </w:rPr>
        <w:t xml:space="preserve">embers </w:t>
      </w:r>
      <w:r w:rsidR="00694CFE" w:rsidRPr="00FF3F1D">
        <w:rPr>
          <w:lang w:eastAsia="en-AU"/>
        </w:rPr>
        <w:t>represent a broad cross-section of perspectives, covering government, business, academia, and community interests. The Council members</w:t>
      </w:r>
      <w:r w:rsidR="00694CFE" w:rsidRPr="00FF3F1D" w:rsidDel="00147673">
        <w:rPr>
          <w:lang w:eastAsia="en-AU"/>
        </w:rPr>
        <w:t xml:space="preserve"> </w:t>
      </w:r>
      <w:r w:rsidR="00147673">
        <w:rPr>
          <w:lang w:eastAsia="en-AU"/>
        </w:rPr>
        <w:t xml:space="preserve">are </w:t>
      </w:r>
      <w:r w:rsidR="00694CFE" w:rsidRPr="00FF3F1D" w:rsidDel="00147673">
        <w:rPr>
          <w:lang w:eastAsia="en-AU"/>
        </w:rPr>
        <w:t xml:space="preserve">data industry </w:t>
      </w:r>
      <w:r w:rsidR="00147673">
        <w:rPr>
          <w:lang w:eastAsia="en-AU"/>
        </w:rPr>
        <w:t xml:space="preserve">leaders with </w:t>
      </w:r>
      <w:r w:rsidR="00694CFE" w:rsidRPr="00FF3F1D">
        <w:rPr>
          <w:lang w:eastAsia="en-AU"/>
        </w:rPr>
        <w:t xml:space="preserve">a strong understanding of the </w:t>
      </w:r>
      <w:r w:rsidR="00147673">
        <w:rPr>
          <w:lang w:eastAsia="en-AU"/>
        </w:rPr>
        <w:t xml:space="preserve">Australian and international </w:t>
      </w:r>
      <w:r w:rsidR="00694CFE" w:rsidRPr="00FF3F1D">
        <w:rPr>
          <w:lang w:eastAsia="en-AU"/>
        </w:rPr>
        <w:t>data landscape</w:t>
      </w:r>
      <w:r w:rsidR="00694CFE" w:rsidRPr="003B7EDC">
        <w:rPr>
          <w:rFonts w:ascii="Calibri" w:eastAsia="Times New Roman" w:hAnsi="Calibri" w:cs="Calibri"/>
          <w:lang w:eastAsia="en-AU"/>
        </w:rPr>
        <w:t>.</w:t>
      </w:r>
    </w:p>
    <w:p w:rsidR="002072B5" w:rsidRDefault="00A65B37" w:rsidP="002072B5">
      <w:r>
        <w:t xml:space="preserve">Since its establishment, the Office of the National Data Commissioner has </w:t>
      </w:r>
      <w:r w:rsidR="0081031F">
        <w:t xml:space="preserve">also </w:t>
      </w:r>
      <w:r>
        <w:t xml:space="preserve">been working to improve practices around governance and management of data. This includes providing guidance for applying </w:t>
      </w:r>
      <w:r w:rsidR="00E173E1" w:rsidRPr="00E173E1">
        <w:t>data sharing principle</w:t>
      </w:r>
      <w:r>
        <w:t>s,</w:t>
      </w:r>
      <w:r>
        <w:rPr>
          <w:rStyle w:val="FootnoteReference"/>
        </w:rPr>
        <w:footnoteReference w:id="7"/>
      </w:r>
      <w:r>
        <w:t xml:space="preserve"> standardised data sharing agreements</w:t>
      </w:r>
      <w:r>
        <w:rPr>
          <w:rStyle w:val="FootnoteReference"/>
        </w:rPr>
        <w:footnoteReference w:id="8"/>
      </w:r>
      <w:r>
        <w:t xml:space="preserve"> to build consistency, and </w:t>
      </w:r>
      <w:r w:rsidR="00667D73">
        <w:t xml:space="preserve">the release of </w:t>
      </w:r>
      <w:r>
        <w:t>Foundational Four</w:t>
      </w:r>
      <w:r>
        <w:rPr>
          <w:rStyle w:val="FootnoteReference"/>
        </w:rPr>
        <w:footnoteReference w:id="9"/>
      </w:r>
      <w:r>
        <w:t xml:space="preserve"> data practices to improve data </w:t>
      </w:r>
      <w:r w:rsidR="00E92180">
        <w:t>capabilities</w:t>
      </w:r>
      <w:r>
        <w:t xml:space="preserve">. </w:t>
      </w:r>
    </w:p>
    <w:p w:rsidR="00D54F08" w:rsidRDefault="007B49A0" w:rsidP="002C4ED0">
      <w:pPr>
        <w:pStyle w:val="Heading2"/>
        <w:numPr>
          <w:ilvl w:val="1"/>
          <w:numId w:val="1"/>
        </w:numPr>
        <w:rPr>
          <w:noProof/>
          <w:lang w:eastAsia="en-AU"/>
        </w:rPr>
      </w:pPr>
      <w:bookmarkStart w:id="35" w:name="_Toc49965668"/>
      <w:bookmarkStart w:id="36" w:name="_Toc49968328"/>
      <w:bookmarkStart w:id="37" w:name="_Toc49970765"/>
      <w:bookmarkStart w:id="38" w:name="_Toc50909432"/>
      <w:r>
        <w:rPr>
          <w:noProof/>
          <w:lang w:eastAsia="en-AU"/>
        </w:rPr>
        <w:lastRenderedPageBreak/>
        <w:t>Reforms target inconsistencies in sharing data</w:t>
      </w:r>
      <w:bookmarkEnd w:id="35"/>
      <w:bookmarkEnd w:id="36"/>
      <w:bookmarkEnd w:id="37"/>
      <w:bookmarkEnd w:id="38"/>
      <w:r w:rsidR="00071145">
        <w:rPr>
          <w:noProof/>
          <w:lang w:eastAsia="en-AU"/>
        </w:rPr>
        <w:t xml:space="preserve"> </w:t>
      </w:r>
      <w:bookmarkEnd w:id="27"/>
      <w:bookmarkEnd w:id="28"/>
      <w:bookmarkEnd w:id="29"/>
      <w:bookmarkEnd w:id="30"/>
    </w:p>
    <w:p w:rsidR="00DB0F67" w:rsidRDefault="0096190B" w:rsidP="00DB0F67">
      <w:pPr>
        <w:rPr>
          <w:lang w:eastAsia="en-AU"/>
        </w:rPr>
      </w:pPr>
      <w:r>
        <w:rPr>
          <w:lang w:eastAsia="en-AU"/>
        </w:rPr>
        <w:t>G</w:t>
      </w:r>
      <w:r w:rsidR="0040575A">
        <w:rPr>
          <w:lang w:eastAsia="en-AU"/>
        </w:rPr>
        <w:t xml:space="preserve">overnment </w:t>
      </w:r>
      <w:r>
        <w:rPr>
          <w:lang w:eastAsia="en-AU"/>
        </w:rPr>
        <w:t xml:space="preserve">agencies </w:t>
      </w:r>
      <w:r w:rsidR="007E0049">
        <w:rPr>
          <w:lang w:eastAsia="en-AU"/>
        </w:rPr>
        <w:t>ha</w:t>
      </w:r>
      <w:r w:rsidR="00C009FD">
        <w:rPr>
          <w:lang w:eastAsia="en-AU"/>
        </w:rPr>
        <w:t xml:space="preserve">ve </w:t>
      </w:r>
      <w:r>
        <w:rPr>
          <w:lang w:eastAsia="en-AU"/>
        </w:rPr>
        <w:t xml:space="preserve">often </w:t>
      </w:r>
      <w:r w:rsidR="00254A4D">
        <w:rPr>
          <w:lang w:eastAsia="en-AU"/>
        </w:rPr>
        <w:t>taken a black-and-white approach</w:t>
      </w:r>
      <w:r>
        <w:rPr>
          <w:lang w:eastAsia="en-AU"/>
        </w:rPr>
        <w:t xml:space="preserve"> to data access and use</w:t>
      </w:r>
      <w:r w:rsidR="00D66DCA">
        <w:rPr>
          <w:lang w:eastAsia="en-AU"/>
        </w:rPr>
        <w:t>, where</w:t>
      </w:r>
      <w:r w:rsidR="00254A4D">
        <w:rPr>
          <w:lang w:eastAsia="en-AU"/>
        </w:rPr>
        <w:t>by</w:t>
      </w:r>
      <w:r w:rsidR="00C009FD">
        <w:rPr>
          <w:lang w:eastAsia="en-AU"/>
        </w:rPr>
        <w:t xml:space="preserve"> </w:t>
      </w:r>
      <w:r w:rsidR="007E0049">
        <w:rPr>
          <w:lang w:eastAsia="en-AU"/>
        </w:rPr>
        <w:t>agencie</w:t>
      </w:r>
      <w:r w:rsidR="00185D9F">
        <w:rPr>
          <w:lang w:eastAsia="en-AU"/>
        </w:rPr>
        <w:t>s</w:t>
      </w:r>
      <w:r w:rsidR="007E0049">
        <w:rPr>
          <w:lang w:eastAsia="en-AU"/>
        </w:rPr>
        <w:t xml:space="preserve"> have</w:t>
      </w:r>
      <w:r w:rsidR="00A77B68">
        <w:rPr>
          <w:lang w:eastAsia="en-AU"/>
        </w:rPr>
        <w:t xml:space="preserve"> kept</w:t>
      </w:r>
      <w:r w:rsidR="00C009FD">
        <w:rPr>
          <w:lang w:eastAsia="en-AU"/>
        </w:rPr>
        <w:t xml:space="preserve"> some</w:t>
      </w:r>
      <w:r w:rsidR="00A77B68">
        <w:rPr>
          <w:lang w:eastAsia="en-AU"/>
        </w:rPr>
        <w:t xml:space="preserve"> </w:t>
      </w:r>
      <w:r w:rsidR="00A77B68" w:rsidRPr="00033C32">
        <w:rPr>
          <w:lang w:eastAsia="en-AU"/>
        </w:rPr>
        <w:t>data in</w:t>
      </w:r>
      <w:r w:rsidR="00071145" w:rsidRPr="00033C32">
        <w:rPr>
          <w:lang w:eastAsia="en-AU"/>
        </w:rPr>
        <w:t>-</w:t>
      </w:r>
      <w:r w:rsidR="00A77B68" w:rsidRPr="00033C32">
        <w:rPr>
          <w:lang w:eastAsia="en-AU"/>
        </w:rPr>
        <w:t xml:space="preserve">house </w:t>
      </w:r>
      <w:r w:rsidR="00B0245A" w:rsidRPr="00033C32">
        <w:rPr>
          <w:lang w:eastAsia="en-AU"/>
        </w:rPr>
        <w:t>(‘closed’)</w:t>
      </w:r>
      <w:r w:rsidR="00D66DCA" w:rsidRPr="00033C32">
        <w:rPr>
          <w:lang w:eastAsia="en-AU"/>
        </w:rPr>
        <w:t xml:space="preserve"> or</w:t>
      </w:r>
      <w:r w:rsidR="007E0049" w:rsidRPr="00033C32">
        <w:rPr>
          <w:lang w:eastAsia="en-AU"/>
        </w:rPr>
        <w:t xml:space="preserve"> </w:t>
      </w:r>
      <w:r w:rsidR="00E92180" w:rsidRPr="00033C32">
        <w:rPr>
          <w:lang w:eastAsia="en-AU"/>
        </w:rPr>
        <w:t xml:space="preserve">have </w:t>
      </w:r>
      <w:r w:rsidR="00421893" w:rsidRPr="00033C32">
        <w:rPr>
          <w:lang w:eastAsia="en-AU"/>
        </w:rPr>
        <w:t>ma</w:t>
      </w:r>
      <w:r w:rsidR="00E92180" w:rsidRPr="00033C32">
        <w:rPr>
          <w:lang w:eastAsia="en-AU"/>
        </w:rPr>
        <w:t>d</w:t>
      </w:r>
      <w:r w:rsidR="00421893" w:rsidRPr="00033C32">
        <w:rPr>
          <w:lang w:eastAsia="en-AU"/>
        </w:rPr>
        <w:t>e</w:t>
      </w:r>
      <w:r w:rsidR="00A77B68" w:rsidRPr="00033C32">
        <w:rPr>
          <w:lang w:eastAsia="en-AU"/>
        </w:rPr>
        <w:t xml:space="preserve"> </w:t>
      </w:r>
      <w:r w:rsidR="00254A4D">
        <w:rPr>
          <w:lang w:eastAsia="en-AU"/>
        </w:rPr>
        <w:t xml:space="preserve">non-sensitive data </w:t>
      </w:r>
      <w:r w:rsidR="00A77B68" w:rsidRPr="00033C32">
        <w:rPr>
          <w:lang w:eastAsia="en-AU"/>
        </w:rPr>
        <w:t>publicly available (‘open’</w:t>
      </w:r>
      <w:r w:rsidR="00C51E8A">
        <w:rPr>
          <w:lang w:eastAsia="en-AU"/>
        </w:rPr>
        <w:t>).</w:t>
      </w:r>
      <w:r w:rsidR="00C009FD">
        <w:rPr>
          <w:lang w:eastAsia="en-AU"/>
        </w:rPr>
        <w:t xml:space="preserve">  </w:t>
      </w:r>
    </w:p>
    <w:p w:rsidR="00033C32" w:rsidRDefault="00DB0F67" w:rsidP="00DB0F67">
      <w:pPr>
        <w:rPr>
          <w:lang w:eastAsia="en-AU"/>
        </w:rPr>
      </w:pPr>
      <w:r>
        <w:rPr>
          <w:lang w:eastAsia="en-AU"/>
        </w:rPr>
        <w:t>Data is also ‘</w:t>
      </w:r>
      <w:r w:rsidRPr="00DB0F67">
        <w:rPr>
          <w:lang w:eastAsia="en-AU"/>
        </w:rPr>
        <w:t>shared</w:t>
      </w:r>
      <w:r>
        <w:rPr>
          <w:lang w:eastAsia="en-AU"/>
        </w:rPr>
        <w:t>’</w:t>
      </w:r>
      <w:r w:rsidR="0096190B">
        <w:rPr>
          <w:lang w:eastAsia="en-AU"/>
        </w:rPr>
        <w:t xml:space="preserve"> with trusted users with controls in place</w:t>
      </w:r>
      <w:r>
        <w:rPr>
          <w:lang w:eastAsia="en-AU"/>
        </w:rPr>
        <w:t>, but often in an ad</w:t>
      </w:r>
      <w:r w:rsidR="00BD1EB7">
        <w:rPr>
          <w:lang w:eastAsia="en-AU"/>
        </w:rPr>
        <w:t xml:space="preserve"> </w:t>
      </w:r>
      <w:r>
        <w:rPr>
          <w:lang w:eastAsia="en-AU"/>
        </w:rPr>
        <w:t>hoc manner or with inconsistencies across government. Reforms to data sharing can enable data to be as open as possible and as closed as necessary.</w:t>
      </w:r>
      <w:r w:rsidR="00246CA9">
        <w:rPr>
          <w:rStyle w:val="FootnoteReference"/>
          <w:lang w:eastAsia="en-AU"/>
        </w:rPr>
        <w:footnoteReference w:id="10"/>
      </w:r>
    </w:p>
    <w:p w:rsidR="00DB0F67" w:rsidRDefault="00DB0F67" w:rsidP="00DB0F67">
      <w:pPr>
        <w:rPr>
          <w:lang w:eastAsia="en-AU"/>
        </w:rPr>
      </w:pPr>
      <w:r>
        <w:rPr>
          <w:lang w:eastAsia="en-AU"/>
        </w:rPr>
        <w:t xml:space="preserve">Keeping data </w:t>
      </w:r>
      <w:r w:rsidRPr="00585C56">
        <w:rPr>
          <w:b/>
          <w:lang w:eastAsia="en-AU"/>
        </w:rPr>
        <w:t>closed</w:t>
      </w:r>
      <w:r w:rsidDel="00312C08">
        <w:rPr>
          <w:lang w:eastAsia="en-AU"/>
        </w:rPr>
        <w:t xml:space="preserve"> </w:t>
      </w:r>
      <w:r>
        <w:rPr>
          <w:lang w:eastAsia="en-AU"/>
        </w:rPr>
        <w:t>can</w:t>
      </w:r>
      <w:r w:rsidR="00E725F2">
        <w:rPr>
          <w:lang w:eastAsia="en-AU"/>
        </w:rPr>
        <w:t xml:space="preserve"> </w:t>
      </w:r>
      <w:r w:rsidR="00577404">
        <w:rPr>
          <w:lang w:eastAsia="en-AU"/>
        </w:rPr>
        <w:t xml:space="preserve">at times </w:t>
      </w:r>
      <w:r w:rsidR="00E725F2">
        <w:rPr>
          <w:lang w:eastAsia="en-AU"/>
        </w:rPr>
        <w:t xml:space="preserve">provide the strictest </w:t>
      </w:r>
      <w:r>
        <w:rPr>
          <w:lang w:eastAsia="en-AU"/>
        </w:rPr>
        <w:t>protect</w:t>
      </w:r>
      <w:r w:rsidR="00E725F2">
        <w:rPr>
          <w:lang w:eastAsia="en-AU"/>
        </w:rPr>
        <w:t>ions for</w:t>
      </w:r>
      <w:r>
        <w:rPr>
          <w:lang w:eastAsia="en-AU"/>
        </w:rPr>
        <w:t xml:space="preserve"> privacy and security</w:t>
      </w:r>
      <w:r w:rsidR="00E725F2">
        <w:rPr>
          <w:lang w:eastAsia="en-AU"/>
        </w:rPr>
        <w:t xml:space="preserve">. However, </w:t>
      </w:r>
      <w:r w:rsidR="00577404">
        <w:rPr>
          <w:lang w:eastAsia="en-AU"/>
        </w:rPr>
        <w:t>in many circumstance</w:t>
      </w:r>
      <w:r w:rsidR="00374639">
        <w:rPr>
          <w:lang w:eastAsia="en-AU"/>
        </w:rPr>
        <w:t>s</w:t>
      </w:r>
      <w:r w:rsidR="00172711">
        <w:rPr>
          <w:lang w:eastAsia="en-AU"/>
        </w:rPr>
        <w:t>,</w:t>
      </w:r>
      <w:r w:rsidR="00577404">
        <w:rPr>
          <w:lang w:eastAsia="en-AU"/>
        </w:rPr>
        <w:t xml:space="preserve"> it is possible to manage the risks of sharing to unlock the potential of data. We have heard from many stakeholders that</w:t>
      </w:r>
      <w:r w:rsidR="00E725F2">
        <w:rPr>
          <w:lang w:eastAsia="en-AU"/>
        </w:rPr>
        <w:t xml:space="preserve"> some data has more value – including to the data custodians themselves – when it is able to be shared. </w:t>
      </w:r>
      <w:r w:rsidR="00577404">
        <w:rPr>
          <w:lang w:eastAsia="en-AU"/>
        </w:rPr>
        <w:t>There are also significant risks to the community when data is not shared: c</w:t>
      </w:r>
      <w:r w:rsidR="00E725F2">
        <w:rPr>
          <w:lang w:eastAsia="en-AU"/>
        </w:rPr>
        <w:t xml:space="preserve">losed data </w:t>
      </w:r>
      <w:r>
        <w:rPr>
          <w:lang w:eastAsia="en-AU"/>
        </w:rPr>
        <w:t>risk</w:t>
      </w:r>
      <w:r w:rsidR="00E725F2">
        <w:rPr>
          <w:lang w:eastAsia="en-AU"/>
        </w:rPr>
        <w:t>s</w:t>
      </w:r>
      <w:r>
        <w:rPr>
          <w:lang w:eastAsia="en-AU"/>
        </w:rPr>
        <w:t xml:space="preserve"> research not using the best or most relevant information, government policies not being targeted where they are most needed, and citizens finding it difficult and laborious to access government services. Closed data also keeps the Australian public in the dark about what the government does with the data it collects and holds. </w:t>
      </w:r>
    </w:p>
    <w:p w:rsidR="00E67E89" w:rsidRDefault="00BC00F4" w:rsidP="00DB0F67">
      <w:pPr>
        <w:rPr>
          <w:lang w:eastAsia="en-AU"/>
        </w:rPr>
      </w:pPr>
      <w:r>
        <w:rPr>
          <w:lang w:eastAsia="en-AU"/>
        </w:rPr>
        <w:t>Releasing</w:t>
      </w:r>
      <w:r w:rsidR="006E6F44">
        <w:rPr>
          <w:lang w:eastAsia="en-AU"/>
        </w:rPr>
        <w:t xml:space="preserve"> </w:t>
      </w:r>
      <w:r w:rsidRPr="00BC00F4">
        <w:rPr>
          <w:lang w:eastAsia="en-AU"/>
        </w:rPr>
        <w:t xml:space="preserve">data </w:t>
      </w:r>
      <w:r w:rsidRPr="00585C56">
        <w:rPr>
          <w:b/>
          <w:lang w:eastAsia="en-AU"/>
        </w:rPr>
        <w:t>openly</w:t>
      </w:r>
      <w:r w:rsidR="00421893">
        <w:rPr>
          <w:lang w:eastAsia="en-AU"/>
        </w:rPr>
        <w:t>,</w:t>
      </w:r>
      <w:r w:rsidR="00421893" w:rsidRPr="00421893">
        <w:rPr>
          <w:lang w:eastAsia="en-AU"/>
        </w:rPr>
        <w:t xml:space="preserve"> </w:t>
      </w:r>
      <w:r w:rsidR="00421893">
        <w:rPr>
          <w:lang w:eastAsia="en-AU"/>
        </w:rPr>
        <w:t>through data.gov.au or other websites,</w:t>
      </w:r>
      <w:r w:rsidRPr="00BC00F4">
        <w:rPr>
          <w:lang w:eastAsia="en-AU"/>
        </w:rPr>
        <w:t> has economic and social benefits</w:t>
      </w:r>
      <w:r>
        <w:rPr>
          <w:lang w:eastAsia="en-AU"/>
        </w:rPr>
        <w:t>, a</w:t>
      </w:r>
      <w:r w:rsidR="00684B40">
        <w:rPr>
          <w:lang w:eastAsia="en-AU"/>
        </w:rPr>
        <w:t>s</w:t>
      </w:r>
      <w:r>
        <w:rPr>
          <w:lang w:eastAsia="en-AU"/>
        </w:rPr>
        <w:t xml:space="preserve"> anyone can access and use this data to </w:t>
      </w:r>
      <w:r w:rsidR="00F05101">
        <w:rPr>
          <w:lang w:eastAsia="en-AU"/>
        </w:rPr>
        <w:t>analyse</w:t>
      </w:r>
      <w:r>
        <w:rPr>
          <w:lang w:eastAsia="en-AU"/>
        </w:rPr>
        <w:t>, in</w:t>
      </w:r>
      <w:r w:rsidR="00071145">
        <w:rPr>
          <w:lang w:eastAsia="en-AU"/>
        </w:rPr>
        <w:t>n</w:t>
      </w:r>
      <w:r>
        <w:rPr>
          <w:lang w:eastAsia="en-AU"/>
        </w:rPr>
        <w:t>ovate</w:t>
      </w:r>
      <w:r w:rsidR="00172711">
        <w:rPr>
          <w:lang w:eastAsia="en-AU"/>
        </w:rPr>
        <w:t>,</w:t>
      </w:r>
      <w:r>
        <w:rPr>
          <w:lang w:eastAsia="en-AU"/>
        </w:rPr>
        <w:t xml:space="preserve"> and develop tools</w:t>
      </w:r>
      <w:r w:rsidR="00312C08">
        <w:rPr>
          <w:lang w:eastAsia="en-AU"/>
        </w:rPr>
        <w:t xml:space="preserve"> that have public value</w:t>
      </w:r>
      <w:r>
        <w:rPr>
          <w:lang w:eastAsia="en-AU"/>
        </w:rPr>
        <w:t xml:space="preserve">. </w:t>
      </w:r>
      <w:r w:rsidR="009171EB">
        <w:rPr>
          <w:rStyle w:val="FootnoteReference"/>
          <w:lang w:eastAsia="en-AU"/>
        </w:rPr>
        <w:footnoteReference w:id="11"/>
      </w:r>
      <w:r w:rsidR="00C009FD">
        <w:rPr>
          <w:lang w:eastAsia="en-AU"/>
        </w:rPr>
        <w:t xml:space="preserve"> </w:t>
      </w:r>
      <w:r>
        <w:rPr>
          <w:lang w:eastAsia="en-AU"/>
        </w:rPr>
        <w:t xml:space="preserve">Before being released, </w:t>
      </w:r>
      <w:r>
        <w:t xml:space="preserve">privacy and security risks must be addressed – </w:t>
      </w:r>
      <w:r>
        <w:rPr>
          <w:lang w:eastAsia="en-AU"/>
        </w:rPr>
        <w:t>open data cannot be retracted or protected against future uses and misuses</w:t>
      </w:r>
      <w:r w:rsidR="00BD1EB7">
        <w:rPr>
          <w:lang w:eastAsia="en-AU"/>
        </w:rPr>
        <w:t xml:space="preserve">, and </w:t>
      </w:r>
      <w:r w:rsidR="00565E46">
        <w:rPr>
          <w:lang w:eastAsia="en-AU"/>
        </w:rPr>
        <w:t xml:space="preserve">for </w:t>
      </w:r>
      <w:r w:rsidR="00BD1EB7">
        <w:rPr>
          <w:lang w:eastAsia="en-AU"/>
        </w:rPr>
        <w:t>s</w:t>
      </w:r>
      <w:r w:rsidR="00D33BF8">
        <w:rPr>
          <w:lang w:eastAsia="en-AU"/>
        </w:rPr>
        <w:t>ome data</w:t>
      </w:r>
      <w:r w:rsidR="00172711">
        <w:rPr>
          <w:lang w:eastAsia="en-AU"/>
        </w:rPr>
        <w:t>,</w:t>
      </w:r>
      <w:r w:rsidR="00D33BF8">
        <w:rPr>
          <w:lang w:eastAsia="en-AU"/>
        </w:rPr>
        <w:t xml:space="preserve"> </w:t>
      </w:r>
      <w:r w:rsidR="00565E46">
        <w:rPr>
          <w:lang w:eastAsia="en-AU"/>
        </w:rPr>
        <w:t xml:space="preserve">it is never appropriate to be </w:t>
      </w:r>
      <w:r w:rsidR="00D33BF8">
        <w:rPr>
          <w:lang w:eastAsia="en-AU"/>
        </w:rPr>
        <w:t xml:space="preserve">open. </w:t>
      </w:r>
      <w:r>
        <w:rPr>
          <w:lang w:eastAsia="en-AU"/>
        </w:rPr>
        <w:t xml:space="preserve"> </w:t>
      </w:r>
    </w:p>
    <w:p w:rsidR="00DB0F67" w:rsidRDefault="00DB0F67" w:rsidP="00DB0F67">
      <w:pPr>
        <w:rPr>
          <w:lang w:eastAsia="en-AU"/>
        </w:rPr>
      </w:pPr>
      <w:r w:rsidRPr="00D66DCA">
        <w:rPr>
          <w:lang w:eastAsia="en-AU"/>
        </w:rPr>
        <w:t xml:space="preserve">When data is </w:t>
      </w:r>
      <w:r w:rsidRPr="00585C56">
        <w:rPr>
          <w:b/>
          <w:lang w:eastAsia="en-AU"/>
        </w:rPr>
        <w:t>shared</w:t>
      </w:r>
      <w:r w:rsidRPr="00D66DCA">
        <w:rPr>
          <w:lang w:eastAsia="en-AU"/>
        </w:rPr>
        <w:t>,</w:t>
      </w:r>
      <w:r>
        <w:rPr>
          <w:lang w:eastAsia="en-AU"/>
        </w:rPr>
        <w:t xml:space="preserve"> access is granted to users in a controlled manner, for example, </w:t>
      </w:r>
      <w:r w:rsidR="0082470A">
        <w:rPr>
          <w:lang w:eastAsia="en-AU"/>
        </w:rPr>
        <w:t>under</w:t>
      </w:r>
      <w:r w:rsidDel="00BD1EB7">
        <w:rPr>
          <w:lang w:eastAsia="en-AU"/>
        </w:rPr>
        <w:t xml:space="preserve"> </w:t>
      </w:r>
      <w:r w:rsidR="00BD1EB7">
        <w:rPr>
          <w:lang w:eastAsia="en-AU"/>
        </w:rPr>
        <w:t xml:space="preserve">memoranda </w:t>
      </w:r>
      <w:r>
        <w:rPr>
          <w:lang w:eastAsia="en-AU"/>
        </w:rPr>
        <w:t xml:space="preserve">of understanding or </w:t>
      </w:r>
      <w:r w:rsidR="00BD1EB7">
        <w:rPr>
          <w:lang w:eastAsia="en-AU"/>
        </w:rPr>
        <w:t xml:space="preserve">through </w:t>
      </w:r>
      <w:r>
        <w:rPr>
          <w:lang w:eastAsia="en-AU"/>
        </w:rPr>
        <w:t>contracts. Currently, sharing is done in an ad</w:t>
      </w:r>
      <w:r w:rsidR="00BD1EB7">
        <w:rPr>
          <w:lang w:eastAsia="en-AU"/>
        </w:rPr>
        <w:t xml:space="preserve"> </w:t>
      </w:r>
      <w:r>
        <w:rPr>
          <w:lang w:eastAsia="en-AU"/>
        </w:rPr>
        <w:t xml:space="preserve">hoc manner, with users </w:t>
      </w:r>
      <w:r w:rsidR="000A7C3A">
        <w:rPr>
          <w:lang w:eastAsia="en-AU"/>
        </w:rPr>
        <w:t xml:space="preserve">potentially </w:t>
      </w:r>
      <w:r>
        <w:rPr>
          <w:lang w:eastAsia="en-AU"/>
        </w:rPr>
        <w:t xml:space="preserve">having to establish </w:t>
      </w:r>
      <w:r w:rsidRPr="00D66DCA">
        <w:rPr>
          <w:lang w:eastAsia="en-AU"/>
        </w:rPr>
        <w:t>their credentials every time</w:t>
      </w:r>
      <w:r>
        <w:rPr>
          <w:lang w:eastAsia="en-AU"/>
        </w:rPr>
        <w:t xml:space="preserve"> they interact with the system. Sharing is </w:t>
      </w:r>
      <w:r w:rsidR="0005779D">
        <w:rPr>
          <w:lang w:eastAsia="en-AU"/>
        </w:rPr>
        <w:t>subject</w:t>
      </w:r>
      <w:r>
        <w:rPr>
          <w:lang w:eastAsia="en-AU"/>
        </w:rPr>
        <w:t xml:space="preserve"> </w:t>
      </w:r>
      <w:r w:rsidR="0005779D">
        <w:rPr>
          <w:lang w:eastAsia="en-AU"/>
        </w:rPr>
        <w:t xml:space="preserve">to </w:t>
      </w:r>
      <w:r>
        <w:rPr>
          <w:lang w:eastAsia="en-AU"/>
        </w:rPr>
        <w:t xml:space="preserve">legislative </w:t>
      </w:r>
      <w:r w:rsidR="0005779D">
        <w:rPr>
          <w:lang w:eastAsia="en-AU"/>
        </w:rPr>
        <w:t>protections</w:t>
      </w:r>
      <w:r>
        <w:rPr>
          <w:lang w:eastAsia="en-AU"/>
        </w:rPr>
        <w:t xml:space="preserve"> and</w:t>
      </w:r>
      <w:r w:rsidR="00667D73">
        <w:rPr>
          <w:lang w:eastAsia="en-AU"/>
        </w:rPr>
        <w:t xml:space="preserve"> individual</w:t>
      </w:r>
      <w:r>
        <w:rPr>
          <w:lang w:eastAsia="en-AU"/>
        </w:rPr>
        <w:t xml:space="preserve"> agencies’ </w:t>
      </w:r>
      <w:r w:rsidR="0005779D">
        <w:rPr>
          <w:lang w:eastAsia="en-AU"/>
        </w:rPr>
        <w:t>interpretations of</w:t>
      </w:r>
      <w:r>
        <w:rPr>
          <w:lang w:eastAsia="en-AU"/>
        </w:rPr>
        <w:t xml:space="preserve"> </w:t>
      </w:r>
      <w:r w:rsidR="004B4A57">
        <w:rPr>
          <w:lang w:eastAsia="en-AU"/>
        </w:rPr>
        <w:t>them</w:t>
      </w:r>
      <w:r>
        <w:rPr>
          <w:lang w:eastAsia="en-AU"/>
        </w:rPr>
        <w:t>.</w:t>
      </w:r>
      <w:r w:rsidR="0005779D">
        <w:rPr>
          <w:lang w:eastAsia="en-AU"/>
        </w:rPr>
        <w:t xml:space="preserve"> Often interpretations are not revisited as technology evolves and community expectations around reasonable use and reuse of data change. </w:t>
      </w:r>
    </w:p>
    <w:p w:rsidR="00DB0F67" w:rsidRDefault="00DB0F67" w:rsidP="00276989">
      <w:pPr>
        <w:rPr>
          <w:lang w:eastAsia="en-AU"/>
        </w:rPr>
      </w:pPr>
      <w:r>
        <w:rPr>
          <w:lang w:eastAsia="en-AU"/>
        </w:rPr>
        <w:t>This sharing space is ripe for reform. Modernising the safeguards and regulating the sharing space can enable Australians to benefit from better services, policies, programs, and research</w:t>
      </w:r>
      <w:r w:rsidRPr="00C4419C">
        <w:rPr>
          <w:lang w:eastAsia="en-AU"/>
        </w:rPr>
        <w:t>.</w:t>
      </w:r>
    </w:p>
    <w:p w:rsidR="00F22E3A" w:rsidRDefault="00F22E3A" w:rsidP="002C4ED0">
      <w:pPr>
        <w:pStyle w:val="Heading2"/>
        <w:numPr>
          <w:ilvl w:val="1"/>
          <w:numId w:val="1"/>
        </w:numPr>
        <w:rPr>
          <w:lang w:eastAsia="en-AU"/>
        </w:rPr>
      </w:pPr>
      <w:bookmarkStart w:id="39" w:name="_Toc50909433"/>
      <w:bookmarkStart w:id="40" w:name="_Toc49965669"/>
      <w:bookmarkStart w:id="41" w:name="_Toc49968329"/>
      <w:bookmarkStart w:id="42" w:name="_Toc49970766"/>
      <w:r>
        <w:rPr>
          <w:lang w:eastAsia="en-AU"/>
        </w:rPr>
        <w:lastRenderedPageBreak/>
        <w:t xml:space="preserve">The Data Availability and Transparency Bill enables </w:t>
      </w:r>
      <w:r w:rsidR="00710321">
        <w:rPr>
          <w:noProof/>
          <w:lang w:eastAsia="en-AU"/>
        </w:rPr>
        <w:t xml:space="preserve">safe and consistent </w:t>
      </w:r>
      <w:r w:rsidR="00667D73">
        <w:rPr>
          <w:noProof/>
          <w:lang w:eastAsia="en-AU"/>
        </w:rPr>
        <w:t xml:space="preserve">data sharing </w:t>
      </w:r>
      <w:r w:rsidR="00710321">
        <w:rPr>
          <w:noProof/>
          <w:lang w:eastAsia="en-AU"/>
        </w:rPr>
        <w:t>practices</w:t>
      </w:r>
      <w:bookmarkEnd w:id="39"/>
      <w:bookmarkEnd w:id="40"/>
      <w:bookmarkEnd w:id="41"/>
      <w:bookmarkEnd w:id="42"/>
    </w:p>
    <w:p w:rsidR="005B3B59" w:rsidRDefault="00902EE7" w:rsidP="00C90BF4">
      <w:pPr>
        <w:keepNext/>
      </w:pPr>
      <w:r>
        <w:rPr>
          <w:lang w:eastAsia="en-AU"/>
        </w:rPr>
        <w:t xml:space="preserve">The </w:t>
      </w:r>
      <w:r w:rsidRPr="005150C7">
        <w:rPr>
          <w:lang w:eastAsia="en-AU"/>
        </w:rPr>
        <w:t>Bill</w:t>
      </w:r>
      <w:r w:rsidR="00E13A5A" w:rsidRPr="00EE0622">
        <w:rPr>
          <w:lang w:eastAsia="en-AU"/>
        </w:rPr>
        <w:t xml:space="preserve"> </w:t>
      </w:r>
      <w:r>
        <w:rPr>
          <w:lang w:eastAsia="en-AU"/>
        </w:rPr>
        <w:t xml:space="preserve">creates an accountable and transparent data sharing scheme for the Australian Government to safely </w:t>
      </w:r>
      <w:r w:rsidRPr="001B6FC4">
        <w:rPr>
          <w:lang w:eastAsia="en-AU"/>
        </w:rPr>
        <w:t>share</w:t>
      </w:r>
      <w:r>
        <w:rPr>
          <w:lang w:eastAsia="en-AU"/>
        </w:rPr>
        <w:t xml:space="preserve"> public sector data by providing </w:t>
      </w:r>
      <w:r>
        <w:t>controlled access to the right people, for the right reasons, w</w:t>
      </w:r>
      <w:r w:rsidR="004869CB">
        <w:t>here</w:t>
      </w:r>
      <w:r>
        <w:t xml:space="preserve"> safeguards </w:t>
      </w:r>
      <w:r w:rsidR="004869CB">
        <w:t xml:space="preserve">must be </w:t>
      </w:r>
      <w:r>
        <w:t xml:space="preserve">in place. </w:t>
      </w:r>
    </w:p>
    <w:p w:rsidR="00145383" w:rsidRDefault="00B462D6" w:rsidP="00902EE7">
      <w:pPr>
        <w:rPr>
          <w:lang w:eastAsia="en-AU"/>
        </w:rPr>
      </w:pPr>
      <w:r>
        <w:rPr>
          <w:lang w:eastAsia="en-AU"/>
        </w:rPr>
        <w:t>The</w:t>
      </w:r>
      <w:r w:rsidR="00145383">
        <w:rPr>
          <w:lang w:eastAsia="en-AU"/>
        </w:rPr>
        <w:t xml:space="preserve"> Bill</w:t>
      </w:r>
      <w:r>
        <w:rPr>
          <w:lang w:eastAsia="en-AU"/>
        </w:rPr>
        <w:t xml:space="preserve"> will not</w:t>
      </w:r>
      <w:r w:rsidR="005B3B59" w:rsidRPr="005B3B59">
        <w:rPr>
          <w:lang w:eastAsia="en-AU"/>
        </w:rPr>
        <w:t xml:space="preserve"> </w:t>
      </w:r>
      <w:r w:rsidR="00374639">
        <w:rPr>
          <w:lang w:eastAsia="en-AU"/>
        </w:rPr>
        <w:t>undermine or invalidate</w:t>
      </w:r>
      <w:r w:rsidR="00374639" w:rsidRPr="005B3B59">
        <w:rPr>
          <w:lang w:eastAsia="en-AU"/>
        </w:rPr>
        <w:t xml:space="preserve"> </w:t>
      </w:r>
      <w:r w:rsidR="005B3B59" w:rsidRPr="005B3B59">
        <w:rPr>
          <w:lang w:eastAsia="en-AU"/>
        </w:rPr>
        <w:t>existing data sharing arrangements that are working successfully</w:t>
      </w:r>
      <w:r w:rsidR="00DC2541">
        <w:rPr>
          <w:lang w:eastAsia="en-AU"/>
        </w:rPr>
        <w:t xml:space="preserve"> for all participants</w:t>
      </w:r>
      <w:r w:rsidR="005B3B59" w:rsidRPr="005B3B59">
        <w:rPr>
          <w:lang w:eastAsia="en-AU"/>
        </w:rPr>
        <w:t xml:space="preserve">. Rather, the Bill will provide an alternative pathway to share data where it is currently prevented by secrecy provisions or where </w:t>
      </w:r>
      <w:r w:rsidR="00374639">
        <w:rPr>
          <w:lang w:eastAsia="en-AU"/>
        </w:rPr>
        <w:t>it simplifies</w:t>
      </w:r>
      <w:r w:rsidR="005B3B59" w:rsidRPr="005B3B59">
        <w:rPr>
          <w:lang w:eastAsia="en-AU"/>
        </w:rPr>
        <w:t xml:space="preserve"> existing pathways</w:t>
      </w:r>
      <w:r w:rsidR="00374639">
        <w:rPr>
          <w:lang w:eastAsia="en-AU"/>
        </w:rPr>
        <w:t>.</w:t>
      </w:r>
      <w:r w:rsidR="00F94352">
        <w:rPr>
          <w:lang w:eastAsia="en-AU"/>
        </w:rPr>
        <w:t xml:space="preserve"> </w:t>
      </w:r>
      <w:r w:rsidR="005B3B59" w:rsidRPr="005B3B59">
        <w:rPr>
          <w:lang w:eastAsia="en-AU"/>
        </w:rPr>
        <w:t xml:space="preserve">In such cases the Bill </w:t>
      </w:r>
      <w:r w:rsidR="00145383">
        <w:rPr>
          <w:lang w:eastAsia="en-AU"/>
        </w:rPr>
        <w:t xml:space="preserve">provides greater consistency, streamlines access, and provides accountability and transparency to build </w:t>
      </w:r>
      <w:r w:rsidR="002E5842">
        <w:rPr>
          <w:lang w:eastAsia="en-AU"/>
        </w:rPr>
        <w:t xml:space="preserve">and maintain </w:t>
      </w:r>
      <w:r w:rsidR="00145383">
        <w:rPr>
          <w:lang w:eastAsia="en-AU"/>
        </w:rPr>
        <w:t xml:space="preserve">community trust. </w:t>
      </w:r>
    </w:p>
    <w:p w:rsidR="00CC129A" w:rsidRDefault="00CC129A" w:rsidP="001E078C">
      <w:pPr>
        <w:pStyle w:val="IntenseQuote"/>
        <w:rPr>
          <w:lang w:eastAsia="en-AU"/>
        </w:rPr>
      </w:pPr>
      <w:r>
        <w:rPr>
          <w:lang w:eastAsia="en-AU"/>
        </w:rPr>
        <w:t>“</w:t>
      </w:r>
      <w:r w:rsidR="00DC2541">
        <w:rPr>
          <w:lang w:eastAsia="en-AU"/>
        </w:rPr>
        <w:t>The</w:t>
      </w:r>
      <w:r>
        <w:rPr>
          <w:lang w:eastAsia="en-AU"/>
        </w:rPr>
        <w:t xml:space="preserve"> Bill </w:t>
      </w:r>
      <w:r w:rsidR="00DC2541">
        <w:rPr>
          <w:lang w:eastAsia="en-AU"/>
        </w:rPr>
        <w:t xml:space="preserve">will not </w:t>
      </w:r>
      <w:r w:rsidR="00F94352">
        <w:rPr>
          <w:lang w:eastAsia="en-AU"/>
        </w:rPr>
        <w:t xml:space="preserve">undermine or invalidate </w:t>
      </w:r>
      <w:r>
        <w:rPr>
          <w:lang w:eastAsia="en-AU"/>
        </w:rPr>
        <w:t>existing data sharing arrangements that are working successfully</w:t>
      </w:r>
      <w:r w:rsidR="00DC2541">
        <w:rPr>
          <w:lang w:eastAsia="en-AU"/>
        </w:rPr>
        <w:t xml:space="preserve"> for </w:t>
      </w:r>
      <w:r w:rsidR="001D129B">
        <w:rPr>
          <w:lang w:eastAsia="en-AU"/>
        </w:rPr>
        <w:t>all participants</w:t>
      </w:r>
      <w:r>
        <w:rPr>
          <w:lang w:eastAsia="en-AU"/>
        </w:rPr>
        <w:t xml:space="preserve">. Rather, the Bill will provide an alternative pathway to share data where it is currently prevented by secrecy provisions or where it </w:t>
      </w:r>
      <w:r w:rsidR="0069450A">
        <w:rPr>
          <w:lang w:eastAsia="en-AU"/>
        </w:rPr>
        <w:t>simplifies</w:t>
      </w:r>
      <w:r>
        <w:rPr>
          <w:lang w:eastAsia="en-AU"/>
        </w:rPr>
        <w:t xml:space="preserve"> existing pathways.”</w:t>
      </w:r>
    </w:p>
    <w:p w:rsidR="00D66DCA" w:rsidRDefault="00FB1E8F" w:rsidP="00FB1E8F">
      <w:r w:rsidRPr="001D26E8">
        <w:t xml:space="preserve">Recent events have brought the need for this Bill into clear focus: data is crucial to effectively manage, respond </w:t>
      </w:r>
      <w:r>
        <w:t xml:space="preserve">to </w:t>
      </w:r>
      <w:r w:rsidRPr="001D26E8">
        <w:t>and learn from</w:t>
      </w:r>
      <w:r>
        <w:t xml:space="preserve"> crises. </w:t>
      </w:r>
      <w:r w:rsidR="00C51E8A">
        <w:t>By sharing data more readily, t</w:t>
      </w:r>
      <w:r>
        <w:t xml:space="preserve">he Australian Government can use the wealth of data it holds to deliver </w:t>
      </w:r>
      <w:r w:rsidR="005B3B59">
        <w:t xml:space="preserve">timely and </w:t>
      </w:r>
      <w:r>
        <w:t>better targeted services to those in need.</w:t>
      </w:r>
      <w:r w:rsidR="00C51E8A">
        <w:t xml:space="preserve"> </w:t>
      </w:r>
      <w:r w:rsidR="00145383">
        <w:t xml:space="preserve">It means different government services </w:t>
      </w:r>
      <w:r w:rsidR="00C732BE">
        <w:t xml:space="preserve">are able to </w:t>
      </w:r>
      <w:r w:rsidR="00145383">
        <w:t>pre-populate information</w:t>
      </w:r>
      <w:r w:rsidR="00EC3086">
        <w:t>,</w:t>
      </w:r>
      <w:r w:rsidR="00145383">
        <w:t xml:space="preserve"> saving citizens time and effort; policies and programs are</w:t>
      </w:r>
      <w:r w:rsidR="001022CD">
        <w:t xml:space="preserve"> </w:t>
      </w:r>
      <w:r w:rsidR="009571A4">
        <w:t>fit</w:t>
      </w:r>
      <w:r w:rsidR="00145383">
        <w:t xml:space="preserve"> for purpose and unintended consequences</w:t>
      </w:r>
      <w:r w:rsidR="001022CD" w:rsidRPr="001022CD">
        <w:t xml:space="preserve"> </w:t>
      </w:r>
      <w:r w:rsidR="001022CD">
        <w:t>are reduced</w:t>
      </w:r>
      <w:r w:rsidR="00145383">
        <w:t xml:space="preserve">; and researchers </w:t>
      </w:r>
      <w:r w:rsidR="00C732BE">
        <w:t xml:space="preserve">are able to </w:t>
      </w:r>
      <w:r w:rsidR="00145383">
        <w:t xml:space="preserve">help shape government policies and </w:t>
      </w:r>
      <w:r w:rsidR="00884DC7">
        <w:t>better understand the</w:t>
      </w:r>
      <w:r w:rsidR="00145383">
        <w:t>ir</w:t>
      </w:r>
      <w:r w:rsidR="00884DC7">
        <w:t xml:space="preserve"> impact.</w:t>
      </w:r>
    </w:p>
    <w:p w:rsidR="00902EE7" w:rsidRDefault="00A97B90" w:rsidP="00276989">
      <w:pPr>
        <w:rPr>
          <w:lang w:eastAsia="en-AU"/>
        </w:rPr>
      </w:pPr>
      <w:r>
        <w:rPr>
          <w:lang w:eastAsia="en-AU"/>
        </w:rPr>
        <w:t xml:space="preserve">The Bill streamlines sharing by </w:t>
      </w:r>
      <w:r w:rsidR="00DE57D9">
        <w:rPr>
          <w:lang w:eastAsia="en-AU"/>
        </w:rPr>
        <w:t xml:space="preserve">overriding </w:t>
      </w:r>
      <w:r>
        <w:rPr>
          <w:lang w:eastAsia="en-AU"/>
        </w:rPr>
        <w:t xml:space="preserve">secrecy </w:t>
      </w:r>
      <w:r w:rsidR="00F05101">
        <w:rPr>
          <w:lang w:eastAsia="en-AU"/>
        </w:rPr>
        <w:t>provisions</w:t>
      </w:r>
      <w:r w:rsidR="00001964">
        <w:rPr>
          <w:lang w:eastAsia="en-AU"/>
        </w:rPr>
        <w:t xml:space="preserve"> and </w:t>
      </w:r>
      <w:r w:rsidR="00832823">
        <w:rPr>
          <w:lang w:eastAsia="en-AU"/>
        </w:rPr>
        <w:t>non-disclosure</w:t>
      </w:r>
      <w:r w:rsidR="00001964">
        <w:rPr>
          <w:lang w:eastAsia="en-AU"/>
        </w:rPr>
        <w:t xml:space="preserve"> prohibitions on sharing</w:t>
      </w:r>
      <w:r w:rsidR="00421893">
        <w:rPr>
          <w:lang w:eastAsia="en-AU"/>
        </w:rPr>
        <w:t>.</w:t>
      </w:r>
      <w:r w:rsidR="006F0D35">
        <w:rPr>
          <w:rStyle w:val="FootnoteReference"/>
          <w:lang w:eastAsia="en-AU"/>
        </w:rPr>
        <w:footnoteReference w:id="12"/>
      </w:r>
      <w:r w:rsidR="00421893">
        <w:rPr>
          <w:lang w:eastAsia="en-AU"/>
        </w:rPr>
        <w:t xml:space="preserve"> It</w:t>
      </w:r>
      <w:r>
        <w:rPr>
          <w:lang w:eastAsia="en-AU"/>
        </w:rPr>
        <w:t xml:space="preserve"> introduces consistent accountabilities and safeguards so public sector data is only shared with accredited users</w:t>
      </w:r>
      <w:r w:rsidR="00620576">
        <w:rPr>
          <w:lang w:eastAsia="en-AU"/>
        </w:rPr>
        <w:t xml:space="preserve"> </w:t>
      </w:r>
      <w:r>
        <w:rPr>
          <w:lang w:eastAsia="en-AU"/>
        </w:rPr>
        <w:t xml:space="preserve">when it is appropriate and safe to do so. </w:t>
      </w:r>
      <w:r w:rsidR="00A65B37">
        <w:rPr>
          <w:lang w:eastAsia="en-AU"/>
        </w:rPr>
        <w:t>T</w:t>
      </w:r>
      <w:r w:rsidR="0018659B">
        <w:rPr>
          <w:lang w:eastAsia="en-AU"/>
        </w:rPr>
        <w:t>he integrity of the data sharing scheme</w:t>
      </w:r>
      <w:r w:rsidR="00A65B37">
        <w:rPr>
          <w:lang w:eastAsia="en-AU"/>
        </w:rPr>
        <w:t xml:space="preserve"> is enhanced</w:t>
      </w:r>
      <w:r w:rsidR="0018659B">
        <w:rPr>
          <w:lang w:eastAsia="en-AU"/>
        </w:rPr>
        <w:t xml:space="preserve"> by establishing the role of a National Data Commissioner to provide oversight </w:t>
      </w:r>
      <w:r w:rsidR="00001964">
        <w:rPr>
          <w:lang w:eastAsia="en-AU"/>
        </w:rPr>
        <w:t xml:space="preserve">of the scheme </w:t>
      </w:r>
      <w:r w:rsidR="0018659B">
        <w:rPr>
          <w:lang w:eastAsia="en-AU"/>
        </w:rPr>
        <w:t xml:space="preserve">and advocate for better practices in sharing and releasing data. </w:t>
      </w:r>
      <w:r w:rsidR="00957859">
        <w:rPr>
          <w:lang w:eastAsia="en-AU"/>
        </w:rPr>
        <w:t xml:space="preserve">All data sharing participants are responsible and accountable for keeping data safe under the Bill, </w:t>
      </w:r>
      <w:r w:rsidR="0018659B">
        <w:rPr>
          <w:lang w:eastAsia="en-AU"/>
        </w:rPr>
        <w:t>including data custodian</w:t>
      </w:r>
      <w:r w:rsidR="00FB1E8F">
        <w:rPr>
          <w:lang w:eastAsia="en-AU"/>
        </w:rPr>
        <w:t>s</w:t>
      </w:r>
      <w:r w:rsidR="0018659B">
        <w:rPr>
          <w:lang w:eastAsia="en-AU"/>
        </w:rPr>
        <w:t xml:space="preserve"> and users. </w:t>
      </w:r>
      <w:r w:rsidR="00BA586E">
        <w:rPr>
          <w:lang w:eastAsia="en-AU"/>
        </w:rPr>
        <w:t xml:space="preserve">These responsibilities </w:t>
      </w:r>
      <w:r w:rsidR="00316076">
        <w:rPr>
          <w:lang w:eastAsia="en-AU"/>
        </w:rPr>
        <w:t>include</w:t>
      </w:r>
      <w:r w:rsidR="00BA586E">
        <w:rPr>
          <w:lang w:eastAsia="en-AU"/>
        </w:rPr>
        <w:t xml:space="preserve"> strong </w:t>
      </w:r>
      <w:r w:rsidR="00BA586E">
        <w:rPr>
          <w:lang w:eastAsia="en-AU"/>
        </w:rPr>
        <w:lastRenderedPageBreak/>
        <w:t>privacy safeguards for personal information</w:t>
      </w:r>
      <w:r w:rsidR="00316076">
        <w:rPr>
          <w:lang w:eastAsia="en-AU"/>
        </w:rPr>
        <w:t xml:space="preserve">, such as the protections of the Australian Privacy Principles </w:t>
      </w:r>
      <w:r w:rsidR="004A3EAD">
        <w:rPr>
          <w:lang w:eastAsia="en-AU"/>
        </w:rPr>
        <w:t xml:space="preserve">and the notifiable data breaches scheme </w:t>
      </w:r>
      <w:r w:rsidR="00316076">
        <w:rPr>
          <w:lang w:eastAsia="en-AU"/>
        </w:rPr>
        <w:t xml:space="preserve">under the </w:t>
      </w:r>
      <w:r w:rsidR="00316076">
        <w:rPr>
          <w:i/>
          <w:lang w:eastAsia="en-AU"/>
        </w:rPr>
        <w:t>Privacy Act 1988.</w:t>
      </w:r>
      <w:r w:rsidR="00316076" w:rsidDel="00316076">
        <w:rPr>
          <w:lang w:eastAsia="en-AU"/>
        </w:rPr>
        <w:t xml:space="preserve"> </w:t>
      </w:r>
    </w:p>
    <w:p w:rsidR="00B75CF6" w:rsidRDefault="0018659B" w:rsidP="002C4ED0">
      <w:pPr>
        <w:pStyle w:val="Heading2"/>
        <w:numPr>
          <w:ilvl w:val="1"/>
          <w:numId w:val="1"/>
        </w:numPr>
        <w:rPr>
          <w:noProof/>
          <w:lang w:eastAsia="en-AU"/>
        </w:rPr>
      </w:pPr>
      <w:bookmarkStart w:id="43" w:name="_Toc49965670"/>
      <w:bookmarkStart w:id="44" w:name="_Toc49968330"/>
      <w:bookmarkStart w:id="45" w:name="_Toc49970767"/>
      <w:bookmarkStart w:id="46" w:name="_Toc50909434"/>
      <w:r>
        <w:rPr>
          <w:noProof/>
          <w:lang w:eastAsia="en-AU"/>
        </w:rPr>
        <w:t>The legislation is informed by</w:t>
      </w:r>
      <w:r w:rsidR="00B91094">
        <w:rPr>
          <w:noProof/>
          <w:lang w:eastAsia="en-AU"/>
        </w:rPr>
        <w:t xml:space="preserve"> an</w:t>
      </w:r>
      <w:r>
        <w:rPr>
          <w:noProof/>
          <w:lang w:eastAsia="en-AU"/>
        </w:rPr>
        <w:t xml:space="preserve"> ongoing public conversation</w:t>
      </w:r>
      <w:bookmarkEnd w:id="43"/>
      <w:bookmarkEnd w:id="44"/>
      <w:bookmarkEnd w:id="45"/>
      <w:bookmarkEnd w:id="46"/>
    </w:p>
    <w:p w:rsidR="0045146A" w:rsidRPr="00033C32" w:rsidRDefault="0028248A" w:rsidP="0045146A">
      <w:pPr>
        <w:rPr>
          <w:highlight w:val="yellow"/>
        </w:rPr>
      </w:pPr>
      <w:r>
        <w:t>The</w:t>
      </w:r>
      <w:r w:rsidR="004E76AC" w:rsidRPr="005150C7">
        <w:t xml:space="preserve"> </w:t>
      </w:r>
      <w:r w:rsidRPr="005150C7">
        <w:t>Bill</w:t>
      </w:r>
      <w:r>
        <w:t xml:space="preserve"> and supporting materials are the result of more than two years of extensive engagement </w:t>
      </w:r>
      <w:r w:rsidR="00FB1E8F">
        <w:t xml:space="preserve">during which </w:t>
      </w:r>
      <w:r>
        <w:t>we listened, learned</w:t>
      </w:r>
      <w:r w:rsidR="006403E8">
        <w:t>,</w:t>
      </w:r>
      <w:r>
        <w:t xml:space="preserve"> and improved</w:t>
      </w:r>
      <w:r w:rsidR="008D6AF9">
        <w:t xml:space="preserve"> the policies that underpin the legislation</w:t>
      </w:r>
      <w:r>
        <w:t>.</w:t>
      </w:r>
      <w:r w:rsidR="003E46D3">
        <w:t xml:space="preserve"> We spoke to hundreds of stakeholders, released an Issues Paper</w:t>
      </w:r>
      <w:r w:rsidR="00022A48">
        <w:t>,</w:t>
      </w:r>
      <w:r w:rsidR="00A65B37">
        <w:rPr>
          <w:rStyle w:val="FootnoteReference"/>
        </w:rPr>
        <w:footnoteReference w:id="13"/>
      </w:r>
      <w:r w:rsidR="003E46D3">
        <w:t xml:space="preserve"> and a Discussion Paper,</w:t>
      </w:r>
      <w:r w:rsidR="00A65B37">
        <w:rPr>
          <w:rStyle w:val="FootnoteReference"/>
        </w:rPr>
        <w:footnoteReference w:id="14"/>
      </w:r>
      <w:r w:rsidR="003E46D3">
        <w:t xml:space="preserve"> received 187 </w:t>
      </w:r>
      <w:r w:rsidR="00D44B17">
        <w:t>public</w:t>
      </w:r>
      <w:r w:rsidR="003E46D3">
        <w:t xml:space="preserve"> submissions, hosted 7</w:t>
      </w:r>
      <w:r w:rsidR="006502F5">
        <w:t>6 roundtable forums</w:t>
      </w:r>
      <w:r w:rsidR="003E46D3">
        <w:t>, and convened 11 co-design workshops across the Australian Public Service</w:t>
      </w:r>
      <w:r w:rsidR="0045146A">
        <w:t>.</w:t>
      </w:r>
      <w:r w:rsidR="003E46D3">
        <w:t xml:space="preserve"> </w:t>
      </w:r>
      <w:r w:rsidR="00033C32" w:rsidRPr="00033C32">
        <w:t>While w</w:t>
      </w:r>
      <w:r w:rsidR="00033C32">
        <w:t>e</w:t>
      </w:r>
      <w:r w:rsidR="003E46D3" w:rsidRPr="00033C32">
        <w:t xml:space="preserve"> </w:t>
      </w:r>
      <w:r w:rsidR="0045146A" w:rsidRPr="00033C32">
        <w:t>recognise not all views can be reflected in the draft Bill</w:t>
      </w:r>
      <w:r w:rsidR="00033C32" w:rsidRPr="00033C32">
        <w:t xml:space="preserve">, the Bill </w:t>
      </w:r>
      <w:r w:rsidR="00D11DFD">
        <w:t>aims to</w:t>
      </w:r>
      <w:r w:rsidR="003E46D3" w:rsidRPr="00033C32">
        <w:t xml:space="preserve"> </w:t>
      </w:r>
      <w:r w:rsidR="00D44B17">
        <w:t xml:space="preserve">strike an appropriate </w:t>
      </w:r>
      <w:r w:rsidR="0045146A" w:rsidRPr="00033C32">
        <w:t xml:space="preserve">balance </w:t>
      </w:r>
      <w:r w:rsidR="00D44B17">
        <w:t>between the many</w:t>
      </w:r>
      <w:r w:rsidR="00D44B17" w:rsidRPr="00033C32">
        <w:t xml:space="preserve"> </w:t>
      </w:r>
      <w:r w:rsidR="0045146A" w:rsidRPr="00033C32">
        <w:t xml:space="preserve">competing </w:t>
      </w:r>
      <w:r w:rsidR="006403E8">
        <w:t>perspectives</w:t>
      </w:r>
      <w:r w:rsidR="00D44B17">
        <w:t xml:space="preserve"> and the objectives of the data reform</w:t>
      </w:r>
      <w:r w:rsidR="008571C6">
        <w:t>s</w:t>
      </w:r>
      <w:r w:rsidR="0045146A" w:rsidRPr="00033C32">
        <w:t xml:space="preserve">. </w:t>
      </w:r>
    </w:p>
    <w:p w:rsidR="00485AC3" w:rsidRDefault="003E46D3" w:rsidP="00A65B37">
      <w:r>
        <w:t>We embedded ‘privacy by design’ in the approach taken to develop this Bill</w:t>
      </w:r>
      <w:r w:rsidR="00C3790E">
        <w:t xml:space="preserve"> to </w:t>
      </w:r>
      <w:r w:rsidR="008571C6">
        <w:t>strengthen protections for individuals’ privacy</w:t>
      </w:r>
      <w:r>
        <w:t>.</w:t>
      </w:r>
      <w:r w:rsidR="00C3790E">
        <w:t xml:space="preserve"> Privacy </w:t>
      </w:r>
      <w:r w:rsidR="00616571">
        <w:t>formed</w:t>
      </w:r>
      <w:r w:rsidR="00C3790E">
        <w:t xml:space="preserve"> part of the policy design from the start and privacy impacts were considered throughout.</w:t>
      </w:r>
      <w:r>
        <w:t xml:space="preserve"> We </w:t>
      </w:r>
      <w:r w:rsidR="00485AC3">
        <w:t xml:space="preserve">commissioned </w:t>
      </w:r>
      <w:r w:rsidR="0028248A">
        <w:t xml:space="preserve">two </w:t>
      </w:r>
      <w:r w:rsidR="00485AC3">
        <w:t xml:space="preserve">independent </w:t>
      </w:r>
      <w:r w:rsidR="0028248A">
        <w:t>Privacy Impact Assessments</w:t>
      </w:r>
      <w:r w:rsidR="00485AC3">
        <w:t xml:space="preserve"> (PIA)</w:t>
      </w:r>
      <w:r>
        <w:t xml:space="preserve"> to ensure we considered privacy from the inception of policies </w:t>
      </w:r>
      <w:r w:rsidR="000F0DEA">
        <w:t>to</w:t>
      </w:r>
      <w:r w:rsidR="00022A48">
        <w:t xml:space="preserve"> the</w:t>
      </w:r>
      <w:r w:rsidR="000F0DEA">
        <w:t xml:space="preserve"> </w:t>
      </w:r>
      <w:r>
        <w:t>drafting of the Bill</w:t>
      </w:r>
      <w:r w:rsidR="00485AC3">
        <w:t xml:space="preserve">. The first </w:t>
      </w:r>
      <w:r>
        <w:t>PIA</w:t>
      </w:r>
      <w:r w:rsidR="00A65B37">
        <w:rPr>
          <w:rStyle w:val="FootnoteReference"/>
        </w:rPr>
        <w:footnoteReference w:id="15"/>
      </w:r>
      <w:r>
        <w:t xml:space="preserve"> </w:t>
      </w:r>
      <w:r w:rsidR="00485AC3">
        <w:t>focused on the broad framework</w:t>
      </w:r>
      <w:r w:rsidR="00A65B37">
        <w:t xml:space="preserve"> for sharing</w:t>
      </w:r>
      <w:r w:rsidR="00485AC3">
        <w:t xml:space="preserve"> and identified its </w:t>
      </w:r>
      <w:r w:rsidR="00485AC3" w:rsidRPr="00485AC3">
        <w:t>strengths and weaknesses</w:t>
      </w:r>
      <w:r w:rsidR="00485AC3">
        <w:t xml:space="preserve"> to make</w:t>
      </w:r>
      <w:r w:rsidR="00485AC3" w:rsidRPr="00485AC3">
        <w:t xml:space="preserve"> eight recommendations that we </w:t>
      </w:r>
      <w:r w:rsidR="00485AC3">
        <w:t xml:space="preserve">adopted in the draft Bill. The second PIA, published alongside this paper, </w:t>
      </w:r>
      <w:r w:rsidR="00485AC3" w:rsidRPr="00485AC3">
        <w:t>assess</w:t>
      </w:r>
      <w:r w:rsidR="00485AC3">
        <w:t>es</w:t>
      </w:r>
      <w:r w:rsidR="00485AC3" w:rsidRPr="00485AC3">
        <w:t xml:space="preserve"> whether we have implemented the policy framework into legislation successfully</w:t>
      </w:r>
      <w:r w:rsidR="00485AC3" w:rsidRPr="00D2081A">
        <w:t>.</w:t>
      </w:r>
      <w:r w:rsidRPr="00D2081A">
        <w:t xml:space="preserve"> </w:t>
      </w:r>
      <w:r w:rsidR="00F10719" w:rsidRPr="00D2081A">
        <w:t>Our response</w:t>
      </w:r>
      <w:r w:rsidR="00D01ECD" w:rsidRPr="00D2081A">
        <w:t>s</w:t>
      </w:r>
      <w:r w:rsidR="00F10719" w:rsidRPr="00D2081A">
        <w:t xml:space="preserve"> to the recommendations made in this PIA are at Appendix A.</w:t>
      </w:r>
      <w:r w:rsidR="00C3790E">
        <w:t xml:space="preserve"> </w:t>
      </w:r>
    </w:p>
    <w:p w:rsidR="005F0A75" w:rsidRDefault="00C81C52" w:rsidP="006E6F44">
      <w:r w:rsidRPr="00C81C52">
        <w:t>Aboriginal and Torres Strait Islander peoples’</w:t>
      </w:r>
      <w:r w:rsidR="00A7684E">
        <w:t xml:space="preserve"> perspectives were im</w:t>
      </w:r>
      <w:r w:rsidR="009B71D3">
        <w:t xml:space="preserve">portant when drafting the Bill. </w:t>
      </w:r>
      <w:r w:rsidR="00DE55AD">
        <w:t>W</w:t>
      </w:r>
      <w:r w:rsidR="009B71D3">
        <w:t xml:space="preserve">e consulted with </w:t>
      </w:r>
      <w:r>
        <w:t>Aboriginal and Torres Strait Islander peoples</w:t>
      </w:r>
      <w:r w:rsidR="009B71D3">
        <w:t xml:space="preserve">, </w:t>
      </w:r>
      <w:r w:rsidR="00DE55AD">
        <w:t xml:space="preserve">together with </w:t>
      </w:r>
      <w:r w:rsidR="009B71D3">
        <w:t>the National Indigenous Australians Agency (NIAA), to ensure the data reforms c</w:t>
      </w:r>
      <w:r w:rsidR="00675751">
        <w:t>onsidered their</w:t>
      </w:r>
      <w:r w:rsidR="009B71D3">
        <w:t xml:space="preserve"> data sovereignty</w:t>
      </w:r>
      <w:r w:rsidR="00675751">
        <w:t xml:space="preserve"> concerns</w:t>
      </w:r>
      <w:r w:rsidR="009B71D3">
        <w:t xml:space="preserve"> and worldviews on data collection and use.</w:t>
      </w:r>
      <w:r w:rsidR="0061639E">
        <w:t xml:space="preserve"> </w:t>
      </w:r>
      <w:r w:rsidR="0061639E" w:rsidRPr="00480E21">
        <w:t xml:space="preserve">This is discussed more in Section </w:t>
      </w:r>
      <w:r w:rsidR="00480E21" w:rsidRPr="00480E21">
        <w:t>3.</w:t>
      </w:r>
      <w:r w:rsidR="008571C6">
        <w:t>5</w:t>
      </w:r>
      <w:r w:rsidR="0061639E">
        <w:t>.</w:t>
      </w:r>
    </w:p>
    <w:p w:rsidR="005F0A75" w:rsidRDefault="005F0A75" w:rsidP="006E6F44">
      <w:r>
        <w:t>This consultation</w:t>
      </w:r>
      <w:r w:rsidR="00D01ECD">
        <w:t xml:space="preserve"> period</w:t>
      </w:r>
      <w:r>
        <w:t xml:space="preserve"> is another opportunity to make your views heard and help shape these important reforms.</w:t>
      </w:r>
    </w:p>
    <w:p w:rsidR="009C5D13" w:rsidRPr="0026504D" w:rsidRDefault="00B75CF6" w:rsidP="002C4ED0">
      <w:pPr>
        <w:pStyle w:val="Heading2"/>
        <w:numPr>
          <w:ilvl w:val="1"/>
          <w:numId w:val="1"/>
        </w:numPr>
        <w:rPr>
          <w:lang w:eastAsia="en-AU"/>
        </w:rPr>
      </w:pPr>
      <w:bookmarkStart w:id="47" w:name="_Toc46911585"/>
      <w:bookmarkStart w:id="48" w:name="_Toc46920821"/>
      <w:bookmarkStart w:id="49" w:name="_Toc46921121"/>
      <w:bookmarkStart w:id="50" w:name="_Toc46924380"/>
      <w:bookmarkStart w:id="51" w:name="_Toc49965671"/>
      <w:bookmarkStart w:id="52" w:name="_Toc49968331"/>
      <w:bookmarkStart w:id="53" w:name="_Toc49970768"/>
      <w:bookmarkStart w:id="54" w:name="_Toc50909435"/>
      <w:r>
        <w:rPr>
          <w:noProof/>
          <w:lang w:eastAsia="en-AU"/>
        </w:rPr>
        <w:t>How to read this document and associated material</w:t>
      </w:r>
      <w:bookmarkEnd w:id="47"/>
      <w:bookmarkEnd w:id="48"/>
      <w:bookmarkEnd w:id="49"/>
      <w:bookmarkEnd w:id="50"/>
      <w:bookmarkEnd w:id="51"/>
      <w:bookmarkEnd w:id="52"/>
      <w:bookmarkEnd w:id="53"/>
      <w:bookmarkEnd w:id="54"/>
    </w:p>
    <w:p w:rsidR="0042510B" w:rsidRDefault="0042510B" w:rsidP="0042510B">
      <w:r>
        <w:t xml:space="preserve">This Consultation paper provides a summary of the legislation </w:t>
      </w:r>
      <w:r w:rsidR="00A65B37">
        <w:t xml:space="preserve">and </w:t>
      </w:r>
      <w:r w:rsidR="00B96801">
        <w:t>accompanying</w:t>
      </w:r>
      <w:r w:rsidDel="00B96801">
        <w:t xml:space="preserve"> </w:t>
      </w:r>
      <w:r>
        <w:t xml:space="preserve">legal and technical documents. Some stakeholders will dive straight into the Bill </w:t>
      </w:r>
      <w:r>
        <w:lastRenderedPageBreak/>
        <w:t>and Explanatory Memorandum for details, but others may need a map</w:t>
      </w:r>
      <w:r w:rsidR="00033C32">
        <w:t>, this Consultation Paper,</w:t>
      </w:r>
      <w:r>
        <w:t xml:space="preserve"> to navigate the materials</w:t>
      </w:r>
      <w:r w:rsidR="00033C32">
        <w:t>.</w:t>
      </w:r>
      <w:r>
        <w:t xml:space="preserve"> </w:t>
      </w:r>
    </w:p>
    <w:p w:rsidR="007A018F" w:rsidRDefault="0042510B" w:rsidP="0026504D">
      <w:pPr>
        <w:spacing w:line="259" w:lineRule="auto"/>
        <w:rPr>
          <w:lang w:eastAsia="en-AU"/>
        </w:rPr>
      </w:pPr>
      <w:r>
        <w:rPr>
          <w:lang w:eastAsia="en-AU"/>
        </w:rPr>
        <w:t>T</w:t>
      </w:r>
      <w:r w:rsidR="00734C50">
        <w:rPr>
          <w:lang w:eastAsia="en-AU"/>
        </w:rPr>
        <w:t>his</w:t>
      </w:r>
      <w:r>
        <w:rPr>
          <w:lang w:eastAsia="en-AU"/>
        </w:rPr>
        <w:t xml:space="preserve"> summary draws on and </w:t>
      </w:r>
      <w:r w:rsidR="007A018F">
        <w:rPr>
          <w:lang w:eastAsia="en-AU"/>
        </w:rPr>
        <w:t>should be read in conjunction with</w:t>
      </w:r>
      <w:r w:rsidR="001326A8">
        <w:rPr>
          <w:lang w:eastAsia="en-AU"/>
        </w:rPr>
        <w:t xml:space="preserve"> the following </w:t>
      </w:r>
      <w:r w:rsidR="00CB795F">
        <w:rPr>
          <w:lang w:eastAsia="en-AU"/>
        </w:rPr>
        <w:t>documents</w:t>
      </w:r>
      <w:r w:rsidR="007A018F">
        <w:rPr>
          <w:lang w:eastAsia="en-AU"/>
        </w:rPr>
        <w:t>:</w:t>
      </w:r>
    </w:p>
    <w:p w:rsidR="00CB795F" w:rsidRDefault="00022A48" w:rsidP="00CB795F">
      <w:pPr>
        <w:pStyle w:val="ListParagraph"/>
        <w:numPr>
          <w:ilvl w:val="0"/>
          <w:numId w:val="34"/>
        </w:numPr>
        <w:spacing w:line="259" w:lineRule="auto"/>
        <w:rPr>
          <w:lang w:eastAsia="en-AU"/>
        </w:rPr>
      </w:pPr>
      <w:r>
        <w:rPr>
          <w:lang w:eastAsia="en-AU"/>
        </w:rPr>
        <w:t xml:space="preserve">The exposure </w:t>
      </w:r>
      <w:r w:rsidR="00D2081A" w:rsidDel="008571C6">
        <w:rPr>
          <w:lang w:eastAsia="en-AU"/>
        </w:rPr>
        <w:t>d</w:t>
      </w:r>
      <w:r w:rsidR="007A018F">
        <w:rPr>
          <w:lang w:eastAsia="en-AU"/>
        </w:rPr>
        <w:t>raft</w:t>
      </w:r>
      <w:r w:rsidR="008571C6">
        <w:rPr>
          <w:lang w:eastAsia="en-AU"/>
        </w:rPr>
        <w:t xml:space="preserve"> of the</w:t>
      </w:r>
      <w:r w:rsidR="003E46D3">
        <w:rPr>
          <w:lang w:eastAsia="en-AU"/>
        </w:rPr>
        <w:t xml:space="preserve"> </w:t>
      </w:r>
      <w:r w:rsidR="003E46D3" w:rsidRPr="005150C7">
        <w:rPr>
          <w:lang w:eastAsia="en-AU"/>
        </w:rPr>
        <w:t>Data Availability and Transparency</w:t>
      </w:r>
      <w:r w:rsidR="007A018F" w:rsidRPr="005150C7">
        <w:rPr>
          <w:lang w:eastAsia="en-AU"/>
        </w:rPr>
        <w:t xml:space="preserve"> Bill</w:t>
      </w:r>
      <w:r w:rsidR="00675751">
        <w:rPr>
          <w:i/>
          <w:lang w:eastAsia="en-AU"/>
        </w:rPr>
        <w:t xml:space="preserve"> </w:t>
      </w:r>
      <w:r w:rsidR="00675751" w:rsidRPr="00675751">
        <w:rPr>
          <w:lang w:eastAsia="en-AU"/>
        </w:rPr>
        <w:t xml:space="preserve">and </w:t>
      </w:r>
      <w:r w:rsidR="00A65B37">
        <w:rPr>
          <w:lang w:eastAsia="en-AU"/>
        </w:rPr>
        <w:t>the</w:t>
      </w:r>
      <w:r w:rsidR="00675751">
        <w:rPr>
          <w:lang w:eastAsia="en-AU"/>
        </w:rPr>
        <w:t xml:space="preserve"> supporting</w:t>
      </w:r>
      <w:r w:rsidR="00A65B37">
        <w:rPr>
          <w:lang w:eastAsia="en-AU"/>
        </w:rPr>
        <w:t xml:space="preserve"> </w:t>
      </w:r>
      <w:r w:rsidR="004C22A6">
        <w:rPr>
          <w:lang w:eastAsia="en-AU"/>
        </w:rPr>
        <w:t xml:space="preserve">draft </w:t>
      </w:r>
      <w:r w:rsidR="00A65B37">
        <w:rPr>
          <w:lang w:eastAsia="en-AU"/>
        </w:rPr>
        <w:t>E</w:t>
      </w:r>
      <w:r w:rsidR="007A018F">
        <w:rPr>
          <w:lang w:eastAsia="en-AU"/>
        </w:rPr>
        <w:t xml:space="preserve">xplanatory </w:t>
      </w:r>
      <w:r w:rsidR="00A65B37">
        <w:rPr>
          <w:lang w:eastAsia="en-AU"/>
        </w:rPr>
        <w:t>M</w:t>
      </w:r>
      <w:r w:rsidR="007A018F">
        <w:rPr>
          <w:lang w:eastAsia="en-AU"/>
        </w:rPr>
        <w:t>emorandum</w:t>
      </w:r>
      <w:r w:rsidR="00D2081A">
        <w:rPr>
          <w:lang w:eastAsia="en-AU"/>
        </w:rPr>
        <w:t>.</w:t>
      </w:r>
    </w:p>
    <w:p w:rsidR="00CB795F" w:rsidRDefault="00022A48" w:rsidP="00CB795F">
      <w:pPr>
        <w:pStyle w:val="ListParagraph"/>
        <w:numPr>
          <w:ilvl w:val="0"/>
          <w:numId w:val="34"/>
        </w:numPr>
        <w:spacing w:line="259" w:lineRule="auto"/>
        <w:rPr>
          <w:lang w:eastAsia="en-AU"/>
        </w:rPr>
      </w:pPr>
      <w:r>
        <w:rPr>
          <w:lang w:eastAsia="en-AU"/>
        </w:rPr>
        <w:t xml:space="preserve">The exposure </w:t>
      </w:r>
      <w:r w:rsidR="00CB795F">
        <w:rPr>
          <w:lang w:eastAsia="en-AU"/>
        </w:rPr>
        <w:t>draft of the Data Availability and Transparency (Consequential Amendments) Bill 2020 and the supporting draft Explanatory Memorandum.</w:t>
      </w:r>
    </w:p>
    <w:p w:rsidR="00CB795F" w:rsidRDefault="00022A48" w:rsidP="00CB795F">
      <w:pPr>
        <w:pStyle w:val="ListParagraph"/>
        <w:numPr>
          <w:ilvl w:val="0"/>
          <w:numId w:val="34"/>
        </w:numPr>
        <w:spacing w:line="259" w:lineRule="auto"/>
        <w:rPr>
          <w:lang w:eastAsia="en-AU"/>
        </w:rPr>
      </w:pPr>
      <w:r>
        <w:rPr>
          <w:lang w:eastAsia="en-AU"/>
        </w:rPr>
        <w:t>The e</w:t>
      </w:r>
      <w:r w:rsidR="00CB795F">
        <w:rPr>
          <w:lang w:eastAsia="en-AU"/>
        </w:rPr>
        <w:t xml:space="preserve">xposure draft of the </w:t>
      </w:r>
      <w:r w:rsidR="00CB795F" w:rsidRPr="00053356">
        <w:rPr>
          <w:lang w:eastAsia="en-AU"/>
        </w:rPr>
        <w:t>Data Availability and Transparency Regulations</w:t>
      </w:r>
      <w:r w:rsidR="00CB795F">
        <w:rPr>
          <w:lang w:eastAsia="en-AU"/>
        </w:rPr>
        <w:t xml:space="preserve"> 2020 and the supporting draft </w:t>
      </w:r>
      <w:r w:rsidR="00CB795F" w:rsidRPr="001E2C98">
        <w:rPr>
          <w:lang w:eastAsia="en-AU"/>
        </w:rPr>
        <w:t xml:space="preserve">Explanatory </w:t>
      </w:r>
      <w:r w:rsidR="00CB795F">
        <w:rPr>
          <w:lang w:eastAsia="en-AU"/>
        </w:rPr>
        <w:t>Statement.</w:t>
      </w:r>
    </w:p>
    <w:p w:rsidR="00CB795F" w:rsidRDefault="00022A48" w:rsidP="00CB795F">
      <w:pPr>
        <w:pStyle w:val="ListParagraph"/>
        <w:numPr>
          <w:ilvl w:val="0"/>
          <w:numId w:val="34"/>
        </w:numPr>
        <w:spacing w:line="259" w:lineRule="auto"/>
        <w:rPr>
          <w:lang w:eastAsia="en-AU"/>
        </w:rPr>
      </w:pPr>
      <w:r>
        <w:rPr>
          <w:lang w:eastAsia="en-AU"/>
        </w:rPr>
        <w:t xml:space="preserve">The </w:t>
      </w:r>
      <w:r w:rsidR="007F7A38">
        <w:rPr>
          <w:lang w:eastAsia="en-AU"/>
        </w:rPr>
        <w:t xml:space="preserve">draft </w:t>
      </w:r>
      <w:r>
        <w:rPr>
          <w:lang w:eastAsia="en-AU"/>
        </w:rPr>
        <w:t xml:space="preserve">second </w:t>
      </w:r>
      <w:r w:rsidR="00CB795F">
        <w:rPr>
          <w:lang w:eastAsia="en-AU"/>
        </w:rPr>
        <w:t xml:space="preserve">independent Privacy Impact Assessment and </w:t>
      </w:r>
      <w:r w:rsidR="007F7A38">
        <w:rPr>
          <w:lang w:eastAsia="en-AU"/>
        </w:rPr>
        <w:t xml:space="preserve">Department of the Prime Minister and Cabinet’s </w:t>
      </w:r>
      <w:r w:rsidR="00CB795F">
        <w:rPr>
          <w:lang w:eastAsia="en-AU"/>
        </w:rPr>
        <w:t>response.</w:t>
      </w:r>
    </w:p>
    <w:p w:rsidR="00667D73" w:rsidRDefault="00022A48" w:rsidP="00667D73">
      <w:pPr>
        <w:pStyle w:val="ListParagraph"/>
        <w:numPr>
          <w:ilvl w:val="0"/>
          <w:numId w:val="34"/>
        </w:numPr>
        <w:spacing w:line="259" w:lineRule="auto"/>
        <w:rPr>
          <w:lang w:eastAsia="en-AU"/>
        </w:rPr>
      </w:pPr>
      <w:r>
        <w:rPr>
          <w:lang w:eastAsia="en-AU"/>
        </w:rPr>
        <w:t>The d</w:t>
      </w:r>
      <w:r w:rsidR="00CB795F">
        <w:rPr>
          <w:lang w:eastAsia="en-AU"/>
        </w:rPr>
        <w:t xml:space="preserve">iscussion paper seeking your feedback on developing the </w:t>
      </w:r>
      <w:r w:rsidR="00AC6A95">
        <w:rPr>
          <w:lang w:eastAsia="en-AU"/>
        </w:rPr>
        <w:t>a</w:t>
      </w:r>
      <w:r w:rsidR="00CB795F" w:rsidRPr="00E173E1">
        <w:rPr>
          <w:lang w:eastAsia="en-AU"/>
        </w:rPr>
        <w:t xml:space="preserve">ccreditation </w:t>
      </w:r>
      <w:r w:rsidR="00AC6A95">
        <w:rPr>
          <w:lang w:eastAsia="en-AU"/>
        </w:rPr>
        <w:t>f</w:t>
      </w:r>
      <w:r w:rsidR="00CB795F" w:rsidRPr="00E173E1">
        <w:rPr>
          <w:lang w:eastAsia="en-AU"/>
        </w:rPr>
        <w:t xml:space="preserve">ramework </w:t>
      </w:r>
      <w:r w:rsidR="00CB795F">
        <w:rPr>
          <w:lang w:eastAsia="en-AU"/>
        </w:rPr>
        <w:t>to support the Bill.</w:t>
      </w:r>
    </w:p>
    <w:p w:rsidR="007C5F27" w:rsidRDefault="00667D73" w:rsidP="00667D73">
      <w:pPr>
        <w:rPr>
          <w:noProof/>
          <w:lang w:eastAsia="en-AU"/>
        </w:rPr>
      </w:pPr>
      <w:bookmarkStart w:id="55" w:name="_Toc46911586"/>
      <w:bookmarkStart w:id="56" w:name="_Toc46920822"/>
      <w:bookmarkStart w:id="57" w:name="_Toc46921122"/>
      <w:bookmarkStart w:id="58" w:name="_Toc46924381"/>
      <w:bookmarkStart w:id="59" w:name="_Toc49965672"/>
      <w:bookmarkStart w:id="60" w:name="_Toc49968332"/>
      <w:bookmarkStart w:id="61" w:name="_Toc49970769"/>
      <w:r w:rsidRPr="00667D73">
        <w:rPr>
          <w:noProof/>
          <w:lang w:eastAsia="en-AU"/>
        </w:rPr>
        <w:t xml:space="preserve">These documents are all available on the Office of the National Data Commissioner website at </w:t>
      </w:r>
      <w:hyperlink r:id="rId13" w:history="1">
        <w:r w:rsidR="007C5F27" w:rsidRPr="00C64E1D">
          <w:rPr>
            <w:rStyle w:val="Hyperlink"/>
            <w:noProof/>
            <w:lang w:eastAsia="en-AU"/>
          </w:rPr>
          <w:t>www.datacommissioner.gov.au</w:t>
        </w:r>
      </w:hyperlink>
    </w:p>
    <w:p w:rsidR="00667D73" w:rsidRDefault="007C5F27" w:rsidP="001E078C">
      <w:pPr>
        <w:spacing w:after="160" w:line="259" w:lineRule="auto"/>
        <w:rPr>
          <w:noProof/>
          <w:lang w:eastAsia="en-AU"/>
        </w:rPr>
      </w:pPr>
      <w:r>
        <w:rPr>
          <w:noProof/>
          <w:lang w:eastAsia="en-AU"/>
        </w:rPr>
        <w:br w:type="page"/>
      </w:r>
    </w:p>
    <w:p w:rsidR="00B75CF6" w:rsidRDefault="00B75CF6" w:rsidP="00CB795F">
      <w:pPr>
        <w:pStyle w:val="Heading2"/>
        <w:numPr>
          <w:ilvl w:val="1"/>
          <w:numId w:val="1"/>
        </w:numPr>
        <w:rPr>
          <w:noProof/>
          <w:lang w:eastAsia="en-AU"/>
        </w:rPr>
      </w:pPr>
      <w:bookmarkStart w:id="62" w:name="_Toc50909436"/>
      <w:r>
        <w:rPr>
          <w:noProof/>
          <w:lang w:eastAsia="en-AU"/>
        </w:rPr>
        <w:lastRenderedPageBreak/>
        <w:t xml:space="preserve">Have your say </w:t>
      </w:r>
      <w:r w:rsidR="00E21FC4">
        <w:rPr>
          <w:noProof/>
          <w:lang w:eastAsia="en-AU"/>
        </w:rPr>
        <w:t>and next steps</w:t>
      </w:r>
      <w:bookmarkEnd w:id="55"/>
      <w:bookmarkEnd w:id="56"/>
      <w:bookmarkEnd w:id="57"/>
      <w:bookmarkEnd w:id="58"/>
      <w:bookmarkEnd w:id="59"/>
      <w:bookmarkEnd w:id="60"/>
      <w:bookmarkEnd w:id="61"/>
      <w:bookmarkEnd w:id="62"/>
      <w:r>
        <w:rPr>
          <w:noProof/>
          <w:lang w:eastAsia="en-AU"/>
        </w:rPr>
        <w:t xml:space="preserve"> </w:t>
      </w:r>
    </w:p>
    <w:p w:rsidR="00245CEB" w:rsidRDefault="00E21FC4" w:rsidP="001D26E8">
      <w:pPr>
        <w:rPr>
          <w:lang w:eastAsia="en-AU"/>
        </w:rPr>
      </w:pPr>
      <w:r>
        <w:rPr>
          <w:lang w:eastAsia="en-AU"/>
        </w:rPr>
        <w:t>We want to hear your views on the Bill</w:t>
      </w:r>
      <w:r w:rsidR="001052AE">
        <w:rPr>
          <w:lang w:eastAsia="en-AU"/>
        </w:rPr>
        <w:t xml:space="preserve">, </w:t>
      </w:r>
      <w:r>
        <w:rPr>
          <w:lang w:eastAsia="en-AU"/>
        </w:rPr>
        <w:t>Regulations</w:t>
      </w:r>
      <w:r w:rsidR="003D774E">
        <w:rPr>
          <w:lang w:eastAsia="en-AU"/>
        </w:rPr>
        <w:t>,</w:t>
      </w:r>
      <w:r w:rsidR="001052AE">
        <w:rPr>
          <w:lang w:eastAsia="en-AU"/>
        </w:rPr>
        <w:t xml:space="preserve"> and the </w:t>
      </w:r>
      <w:r w:rsidR="00AC6A95">
        <w:rPr>
          <w:lang w:eastAsia="en-AU"/>
        </w:rPr>
        <w:t>a</w:t>
      </w:r>
      <w:r w:rsidR="001052AE">
        <w:rPr>
          <w:lang w:eastAsia="en-AU"/>
        </w:rPr>
        <w:t xml:space="preserve">ccreditation </w:t>
      </w:r>
      <w:r w:rsidR="00AC6A95">
        <w:rPr>
          <w:lang w:eastAsia="en-AU"/>
        </w:rPr>
        <w:t>f</w:t>
      </w:r>
      <w:r w:rsidR="001052AE">
        <w:rPr>
          <w:lang w:eastAsia="en-AU"/>
        </w:rPr>
        <w:t>ramework</w:t>
      </w:r>
      <w:r>
        <w:rPr>
          <w:lang w:eastAsia="en-AU"/>
        </w:rPr>
        <w:t xml:space="preserve">. Our consultation period runs for </w:t>
      </w:r>
      <w:r w:rsidR="00FC365B">
        <w:rPr>
          <w:lang w:eastAsia="en-AU"/>
        </w:rPr>
        <w:t>eight week</w:t>
      </w:r>
      <w:r>
        <w:rPr>
          <w:lang w:eastAsia="en-AU"/>
        </w:rPr>
        <w:t>s and</w:t>
      </w:r>
      <w:r w:rsidR="00FC365B">
        <w:rPr>
          <w:lang w:eastAsia="en-AU"/>
        </w:rPr>
        <w:t xml:space="preserve"> is an </w:t>
      </w:r>
      <w:r w:rsidR="00F05101">
        <w:rPr>
          <w:lang w:eastAsia="en-AU"/>
        </w:rPr>
        <w:t>opportunity</w:t>
      </w:r>
      <w:r w:rsidR="00FC365B">
        <w:rPr>
          <w:lang w:eastAsia="en-AU"/>
        </w:rPr>
        <w:t xml:space="preserve"> </w:t>
      </w:r>
      <w:r>
        <w:rPr>
          <w:lang w:eastAsia="en-AU"/>
        </w:rPr>
        <w:t xml:space="preserve">for you </w:t>
      </w:r>
      <w:r w:rsidR="00D56036">
        <w:rPr>
          <w:lang w:eastAsia="en-AU"/>
        </w:rPr>
        <w:t>to provide formal</w:t>
      </w:r>
      <w:r w:rsidR="004A3559">
        <w:rPr>
          <w:lang w:eastAsia="en-AU"/>
        </w:rPr>
        <w:t xml:space="preserve"> written</w:t>
      </w:r>
      <w:r w:rsidR="00D56036">
        <w:rPr>
          <w:lang w:eastAsia="en-AU"/>
        </w:rPr>
        <w:t xml:space="preserve"> submissions to </w:t>
      </w:r>
      <w:r w:rsidR="00D56036" w:rsidRPr="00696B84">
        <w:rPr>
          <w:lang w:eastAsia="en-AU"/>
        </w:rPr>
        <w:t xml:space="preserve">the </w:t>
      </w:r>
      <w:r w:rsidR="00D56036" w:rsidRPr="00FF3F1D">
        <w:rPr>
          <w:lang w:eastAsia="en-AU"/>
        </w:rPr>
        <w:t>Office</w:t>
      </w:r>
      <w:r w:rsidRPr="00FF3F1D">
        <w:rPr>
          <w:lang w:eastAsia="en-AU"/>
        </w:rPr>
        <w:t xml:space="preserve"> through</w:t>
      </w:r>
      <w:r w:rsidR="0042510B" w:rsidRPr="00FF3F1D">
        <w:rPr>
          <w:lang w:eastAsia="en-AU"/>
        </w:rPr>
        <w:t xml:space="preserve"> </w:t>
      </w:r>
      <w:r w:rsidR="0042510B" w:rsidRPr="00FF3F1D">
        <w:t>our</w:t>
      </w:r>
      <w:r w:rsidR="0042510B" w:rsidRPr="00FF3F1D">
        <w:rPr>
          <w:lang w:eastAsia="en-AU"/>
        </w:rPr>
        <w:t xml:space="preserve"> website</w:t>
      </w:r>
      <w:r w:rsidR="00245CEB">
        <w:rPr>
          <w:lang w:eastAsia="en-AU"/>
        </w:rPr>
        <w:t xml:space="preserve"> (</w:t>
      </w:r>
      <w:hyperlink r:id="rId14" w:history="1">
        <w:r w:rsidR="00245CEB" w:rsidRPr="00135ECB">
          <w:rPr>
            <w:rStyle w:val="Hyperlink"/>
            <w:lang w:eastAsia="en-AU"/>
          </w:rPr>
          <w:t>www.datacommissioner.gov.au</w:t>
        </w:r>
      </w:hyperlink>
      <w:r w:rsidR="00245CEB">
        <w:rPr>
          <w:lang w:eastAsia="en-AU"/>
        </w:rPr>
        <w:t xml:space="preserve">). Submissions are due by 6 November 2020, and we encourage you to get in touch early. </w:t>
      </w:r>
    </w:p>
    <w:p w:rsidR="004A3559" w:rsidRDefault="004A3559" w:rsidP="001D26E8">
      <w:pPr>
        <w:rPr>
          <w:lang w:eastAsia="en-AU"/>
        </w:rPr>
      </w:pPr>
      <w:r>
        <w:rPr>
          <w:lang w:eastAsia="en-AU"/>
        </w:rPr>
        <w:t xml:space="preserve">To support this feedback process, the Office will host a series of </w:t>
      </w:r>
      <w:r w:rsidR="001D26E8">
        <w:rPr>
          <w:lang w:eastAsia="en-AU"/>
        </w:rPr>
        <w:t>webinars to provide information and</w:t>
      </w:r>
      <w:r>
        <w:rPr>
          <w:lang w:eastAsia="en-AU"/>
        </w:rPr>
        <w:t xml:space="preserve"> answer questions. Please check the website</w:t>
      </w:r>
      <w:r w:rsidR="00B96801">
        <w:rPr>
          <w:rStyle w:val="FootnoteReference"/>
          <w:lang w:eastAsia="en-AU"/>
        </w:rPr>
        <w:footnoteReference w:id="16"/>
      </w:r>
      <w:r>
        <w:rPr>
          <w:lang w:eastAsia="en-AU"/>
        </w:rPr>
        <w:t xml:space="preserve"> for further details. </w:t>
      </w:r>
    </w:p>
    <w:p w:rsidR="001052AE" w:rsidRDefault="00696B84" w:rsidP="00954949">
      <w:r>
        <w:t>Following consultation on the Exposure Draft of the Bill, we will make necessary amendments to the Bill, Regulation</w:t>
      </w:r>
      <w:r w:rsidR="003D774E">
        <w:t>,</w:t>
      </w:r>
      <w:r>
        <w:t xml:space="preserve"> and Explanatory Materials</w:t>
      </w:r>
      <w:r w:rsidRPr="00954949">
        <w:t xml:space="preserve">, </w:t>
      </w:r>
      <w:r w:rsidR="001D26E8" w:rsidRPr="00954949">
        <w:t>before presenting to Government for its consideration prior to introduction into Parliament</w:t>
      </w:r>
      <w:r>
        <w:t>. The Bill will be operational once it receives Royal Assent from the Governor</w:t>
      </w:r>
      <w:r w:rsidR="008571C6">
        <w:t>-</w:t>
      </w:r>
      <w:r>
        <w:t>General. A National Data Commissioner will then be appointed to oversee and regulate the data sharing scheme.</w:t>
      </w:r>
    </w:p>
    <w:p w:rsidR="001052AE" w:rsidRDefault="001A448D" w:rsidP="00954949">
      <w:r>
        <w:t>There</w:t>
      </w:r>
      <w:r w:rsidR="001052AE">
        <w:t xml:space="preserve"> will also </w:t>
      </w:r>
      <w:r>
        <w:t>be opportunities</w:t>
      </w:r>
      <w:r w:rsidR="001052AE">
        <w:t xml:space="preserve"> to </w:t>
      </w:r>
      <w:r>
        <w:t>have your say</w:t>
      </w:r>
      <w:r w:rsidR="001052AE">
        <w:t xml:space="preserve"> as we </w:t>
      </w:r>
      <w:r w:rsidR="002E0B94">
        <w:t xml:space="preserve">operationalise </w:t>
      </w:r>
      <w:r w:rsidR="001052AE">
        <w:t>the Bill.</w:t>
      </w:r>
    </w:p>
    <w:p w:rsidR="00A1484A" w:rsidRDefault="00A1484A" w:rsidP="001E078C">
      <w:r>
        <w:br w:type="page"/>
      </w:r>
    </w:p>
    <w:p w:rsidR="00972AB1" w:rsidRPr="006E6F44" w:rsidRDefault="00667D73" w:rsidP="00781E71">
      <w:pPr>
        <w:pStyle w:val="Heading1"/>
        <w:numPr>
          <w:ilvl w:val="0"/>
          <w:numId w:val="1"/>
        </w:numPr>
      </w:pPr>
      <w:bookmarkStart w:id="63" w:name="_Toc46911587"/>
      <w:bookmarkStart w:id="64" w:name="_Toc46920823"/>
      <w:bookmarkStart w:id="65" w:name="_Toc46921123"/>
      <w:bookmarkStart w:id="66" w:name="_Toc46924382"/>
      <w:bookmarkStart w:id="67" w:name="_Toc49965673"/>
      <w:bookmarkStart w:id="68" w:name="_Toc49968333"/>
      <w:bookmarkStart w:id="69" w:name="_Toc49970770"/>
      <w:bookmarkStart w:id="70" w:name="_Toc50909437"/>
      <w:r>
        <w:lastRenderedPageBreak/>
        <w:t>The</w:t>
      </w:r>
      <w:r w:rsidR="00A41F2F" w:rsidRPr="006E6F44">
        <w:t xml:space="preserve"> </w:t>
      </w:r>
      <w:r w:rsidR="005C42DF" w:rsidRPr="006E6F44">
        <w:t>Data Availability and Transparency Bill</w:t>
      </w:r>
      <w:bookmarkEnd w:id="63"/>
      <w:bookmarkEnd w:id="64"/>
      <w:bookmarkEnd w:id="65"/>
      <w:bookmarkEnd w:id="66"/>
      <w:bookmarkEnd w:id="67"/>
      <w:bookmarkEnd w:id="68"/>
      <w:bookmarkEnd w:id="69"/>
      <w:r>
        <w:t>: A summary</w:t>
      </w:r>
      <w:bookmarkEnd w:id="4"/>
      <w:bookmarkEnd w:id="5"/>
      <w:bookmarkEnd w:id="6"/>
      <w:bookmarkEnd w:id="7"/>
      <w:bookmarkEnd w:id="8"/>
      <w:bookmarkEnd w:id="9"/>
      <w:bookmarkEnd w:id="10"/>
      <w:bookmarkEnd w:id="11"/>
      <w:bookmarkEnd w:id="12"/>
      <w:bookmarkEnd w:id="13"/>
      <w:bookmarkEnd w:id="14"/>
      <w:bookmarkEnd w:id="15"/>
      <w:bookmarkEnd w:id="16"/>
      <w:bookmarkEnd w:id="70"/>
    </w:p>
    <w:p w:rsidR="005C42DF" w:rsidRDefault="005C42DF" w:rsidP="00FF3F1D">
      <w:r>
        <w:t>The</w:t>
      </w:r>
      <w:r w:rsidR="008571C6">
        <w:t xml:space="preserve"> Exposure Draft of the</w:t>
      </w:r>
      <w:r>
        <w:t xml:space="preserve"> </w:t>
      </w:r>
      <w:r w:rsidRPr="005150C7">
        <w:t>Data Availability and Transparency Bill</w:t>
      </w:r>
      <w:r w:rsidR="00C11E25">
        <w:t xml:space="preserve"> 2020 (the Bill)</w:t>
      </w:r>
      <w:r>
        <w:t xml:space="preserve"> </w:t>
      </w:r>
      <w:r w:rsidR="006D319F">
        <w:t>establishes</w:t>
      </w:r>
      <w:r>
        <w:t xml:space="preserve"> a new </w:t>
      </w:r>
      <w:r w:rsidRPr="001D26E8">
        <w:t xml:space="preserve">data sharing scheme to modernise how the Australian </w:t>
      </w:r>
      <w:r w:rsidR="008571C6">
        <w:t>G</w:t>
      </w:r>
      <w:r w:rsidRPr="001D26E8">
        <w:t xml:space="preserve">overnment shares data. </w:t>
      </w:r>
    </w:p>
    <w:p w:rsidR="00B90854" w:rsidRDefault="00B90854" w:rsidP="00FF3F1D">
      <w:r>
        <w:t xml:space="preserve">The Bill </w:t>
      </w:r>
      <w:r w:rsidR="00142CEF" w:rsidRPr="00142CEF">
        <w:t>creates a scheme of</w:t>
      </w:r>
      <w:r>
        <w:t xml:space="preserve"> controlled access (‘</w:t>
      </w:r>
      <w:r w:rsidR="00142CEF" w:rsidRPr="00142CEF">
        <w:t xml:space="preserve">data </w:t>
      </w:r>
      <w:r>
        <w:t xml:space="preserve">sharing’) </w:t>
      </w:r>
      <w:r w:rsidR="00684B40">
        <w:t>to</w:t>
      </w:r>
      <w:r>
        <w:t xml:space="preserve"> </w:t>
      </w:r>
      <w:r w:rsidR="00142CEF">
        <w:t>public sector</w:t>
      </w:r>
      <w:r w:rsidR="00142CEF" w:rsidRPr="00142CEF">
        <w:t xml:space="preserve"> data. This scheme includes a system of</w:t>
      </w:r>
      <w:r w:rsidRPr="0078297E">
        <w:t xml:space="preserve"> safeguards to manage </w:t>
      </w:r>
      <w:r>
        <w:t xml:space="preserve">risk and streamline </w:t>
      </w:r>
      <w:r w:rsidR="00142CEF" w:rsidRPr="00142CEF">
        <w:t xml:space="preserve">sharing </w:t>
      </w:r>
      <w:r>
        <w:t>processes</w:t>
      </w:r>
      <w:r w:rsidR="00142CEF" w:rsidRPr="00142CEF">
        <w:t xml:space="preserve"> and establishes an independent regulator </w:t>
      </w:r>
      <w:r w:rsidR="003A5DE3">
        <w:t>for its oversight</w:t>
      </w:r>
      <w:r w:rsidR="00142CEF" w:rsidRPr="00142CEF">
        <w:t xml:space="preserve">. </w:t>
      </w:r>
      <w:r w:rsidRPr="004D7D13">
        <w:t xml:space="preserve">The Bill </w:t>
      </w:r>
      <w:r>
        <w:t xml:space="preserve">takes a </w:t>
      </w:r>
      <w:r w:rsidRPr="004D7D13">
        <w:t xml:space="preserve">principles-based </w:t>
      </w:r>
      <w:r>
        <w:t>approach to data sharing, provid</w:t>
      </w:r>
      <w:r w:rsidR="007073CF">
        <w:t>ing</w:t>
      </w:r>
      <w:r>
        <w:t xml:space="preserve"> parties with </w:t>
      </w:r>
      <w:r w:rsidR="00D76C6A">
        <w:t xml:space="preserve">the </w:t>
      </w:r>
      <w:r>
        <w:t>flexibility to tailor sharing arrangements</w:t>
      </w:r>
      <w:r w:rsidR="00D76C6A">
        <w:t>,</w:t>
      </w:r>
      <w:r>
        <w:t xml:space="preserve"> and </w:t>
      </w:r>
      <w:r w:rsidR="007073CF">
        <w:t>allowing</w:t>
      </w:r>
      <w:r>
        <w:t xml:space="preserve"> the scheme </w:t>
      </w:r>
      <w:r w:rsidR="007073CF">
        <w:t>to evolve in line with</w:t>
      </w:r>
      <w:r>
        <w:t xml:space="preserve"> technolog</w:t>
      </w:r>
      <w:r w:rsidR="007073CF">
        <w:t>y</w:t>
      </w:r>
      <w:r>
        <w:t xml:space="preserve"> and community expectations. Modernising the approach to sharing public sector data will empower </w:t>
      </w:r>
      <w:r w:rsidR="00D76C6A">
        <w:t xml:space="preserve">the </w:t>
      </w:r>
      <w:r>
        <w:t>Government to deliver effective services and better informed policy</w:t>
      </w:r>
      <w:r w:rsidR="007F1C07">
        <w:t xml:space="preserve"> and programs</w:t>
      </w:r>
      <w:r>
        <w:t xml:space="preserve">, and support research and development. </w:t>
      </w:r>
    </w:p>
    <w:p w:rsidR="006D319F" w:rsidRPr="007B71EF" w:rsidRDefault="006D319F" w:rsidP="006D319F">
      <w:r w:rsidRPr="007B71EF">
        <w:t xml:space="preserve">The </w:t>
      </w:r>
      <w:r w:rsidRPr="005150C7">
        <w:t>Bill</w:t>
      </w:r>
      <w:r w:rsidR="0082118A">
        <w:t xml:space="preserve"> aims to</w:t>
      </w:r>
      <w:r w:rsidRPr="007B71EF">
        <w:t>:</w:t>
      </w:r>
    </w:p>
    <w:p w:rsidR="006D319F" w:rsidRDefault="006D319F" w:rsidP="006D319F">
      <w:pPr>
        <w:pStyle w:val="ListParagraph"/>
        <w:numPr>
          <w:ilvl w:val="0"/>
          <w:numId w:val="6"/>
        </w:numPr>
        <w:spacing w:line="254" w:lineRule="auto"/>
        <w:rPr>
          <w:rFonts w:cstheme="minorHAnsi"/>
          <w:szCs w:val="24"/>
        </w:rPr>
      </w:pPr>
      <w:r>
        <w:rPr>
          <w:rFonts w:cstheme="minorHAnsi"/>
          <w:szCs w:val="24"/>
        </w:rPr>
        <w:t>promote better availability of public sector data</w:t>
      </w:r>
    </w:p>
    <w:p w:rsidR="006D319F" w:rsidRDefault="006D319F" w:rsidP="006D319F">
      <w:pPr>
        <w:pStyle w:val="ListParagraph"/>
        <w:numPr>
          <w:ilvl w:val="0"/>
          <w:numId w:val="6"/>
        </w:numPr>
        <w:spacing w:line="254" w:lineRule="auto"/>
        <w:rPr>
          <w:rFonts w:cstheme="minorHAnsi"/>
          <w:szCs w:val="24"/>
        </w:rPr>
      </w:pPr>
      <w:r>
        <w:rPr>
          <w:rFonts w:cstheme="minorHAnsi"/>
          <w:szCs w:val="24"/>
        </w:rPr>
        <w:t>enable consistent safeguards for sharing public sector data</w:t>
      </w:r>
    </w:p>
    <w:p w:rsidR="006D319F" w:rsidRDefault="006D319F" w:rsidP="006D319F">
      <w:pPr>
        <w:pStyle w:val="ListParagraph"/>
        <w:numPr>
          <w:ilvl w:val="0"/>
          <w:numId w:val="6"/>
        </w:numPr>
        <w:spacing w:line="254" w:lineRule="auto"/>
        <w:rPr>
          <w:rFonts w:cstheme="minorHAnsi"/>
          <w:szCs w:val="24"/>
        </w:rPr>
      </w:pPr>
      <w:r>
        <w:rPr>
          <w:rFonts w:cstheme="minorHAnsi"/>
          <w:szCs w:val="24"/>
        </w:rPr>
        <w:t>enhance integrity and transparency in sharing public sector data</w:t>
      </w:r>
    </w:p>
    <w:p w:rsidR="006D319F" w:rsidRDefault="006D319F" w:rsidP="006D319F">
      <w:pPr>
        <w:pStyle w:val="ListParagraph"/>
        <w:numPr>
          <w:ilvl w:val="0"/>
          <w:numId w:val="6"/>
        </w:numPr>
        <w:spacing w:line="254" w:lineRule="auto"/>
        <w:rPr>
          <w:rFonts w:cstheme="minorHAnsi"/>
          <w:szCs w:val="24"/>
        </w:rPr>
      </w:pPr>
      <w:r>
        <w:rPr>
          <w:rFonts w:cstheme="minorHAnsi"/>
          <w:szCs w:val="24"/>
        </w:rPr>
        <w:t>build confidence in the use of public sector data, and</w:t>
      </w:r>
    </w:p>
    <w:p w:rsidR="006D319F" w:rsidRDefault="006D319F" w:rsidP="00FF3F1D">
      <w:pPr>
        <w:pStyle w:val="ListParagraph"/>
        <w:numPr>
          <w:ilvl w:val="0"/>
          <w:numId w:val="6"/>
        </w:numPr>
        <w:spacing w:line="254" w:lineRule="auto"/>
        <w:rPr>
          <w:rFonts w:cstheme="minorHAnsi"/>
          <w:szCs w:val="24"/>
        </w:rPr>
      </w:pPr>
      <w:r>
        <w:rPr>
          <w:rFonts w:cstheme="minorHAnsi"/>
          <w:szCs w:val="24"/>
        </w:rPr>
        <w:t>establish institutional arrangements for sharing public sector data.</w:t>
      </w:r>
      <w:bookmarkStart w:id="71" w:name="_GoBack"/>
      <w:bookmarkEnd w:id="71"/>
    </w:p>
    <w:p w:rsidR="009B71D3" w:rsidRDefault="006D319F" w:rsidP="00FF3F1D">
      <w:r>
        <w:t>The Bill</w:t>
      </w:r>
      <w:r w:rsidR="0059016F">
        <w:t>,</w:t>
      </w:r>
      <w:r>
        <w:t xml:space="preserve"> </w:t>
      </w:r>
      <w:r w:rsidR="0059016F">
        <w:t xml:space="preserve">in taking a </w:t>
      </w:r>
      <w:r>
        <w:t>principles-based</w:t>
      </w:r>
      <w:r w:rsidR="0059016F">
        <w:t xml:space="preserve"> approach, is</w:t>
      </w:r>
      <w:r w:rsidR="001D26E8">
        <w:t xml:space="preserve"> supported by</w:t>
      </w:r>
      <w:r w:rsidR="00ED3FAC">
        <w:t xml:space="preserve"> secondary legislative instruments,</w:t>
      </w:r>
      <w:r>
        <w:t xml:space="preserve"> </w:t>
      </w:r>
      <w:r w:rsidR="00A26662">
        <w:t>G</w:t>
      </w:r>
      <w:r>
        <w:t>uidelines</w:t>
      </w:r>
      <w:r w:rsidR="00D76C6A">
        <w:t>,</w:t>
      </w:r>
      <w:r>
        <w:t xml:space="preserve"> and guidance to provide details</w:t>
      </w:r>
      <w:r w:rsidR="0082118A" w:rsidRPr="0082118A">
        <w:t xml:space="preserve"> </w:t>
      </w:r>
      <w:r w:rsidR="0082118A">
        <w:t>on the use of the scheme</w:t>
      </w:r>
      <w:r>
        <w:t xml:space="preserve"> (see Figure 1). The Regulations</w:t>
      </w:r>
      <w:r w:rsidR="00DB6DFD">
        <w:t>,</w:t>
      </w:r>
      <w:r w:rsidDel="00DB6DFD">
        <w:t xml:space="preserve"> </w:t>
      </w:r>
      <w:r>
        <w:t>Rules</w:t>
      </w:r>
      <w:r w:rsidR="00D76C6A">
        <w:t>,</w:t>
      </w:r>
      <w:r>
        <w:t xml:space="preserve"> </w:t>
      </w:r>
      <w:r w:rsidR="00DB6DFD">
        <w:t xml:space="preserve">and Data Codes </w:t>
      </w:r>
      <w:r>
        <w:t xml:space="preserve">are legal instruments that are </w:t>
      </w:r>
      <w:r w:rsidR="007B46F5">
        <w:t>subject</w:t>
      </w:r>
      <w:r>
        <w:t xml:space="preserve"> to Parliamentary scrutiny.</w:t>
      </w:r>
      <w:r w:rsidR="00D45D6C">
        <w:t xml:space="preserve"> The Bill </w:t>
      </w:r>
      <w:r w:rsidR="00033C32">
        <w:t xml:space="preserve">gives </w:t>
      </w:r>
      <w:r w:rsidR="0059016F">
        <w:t xml:space="preserve">specific </w:t>
      </w:r>
      <w:r w:rsidR="00033C32">
        <w:t>powers to</w:t>
      </w:r>
      <w:r w:rsidR="00D45D6C">
        <w:t xml:space="preserve"> the Minister </w:t>
      </w:r>
      <w:r w:rsidR="00142CEF">
        <w:t>to issue rules</w:t>
      </w:r>
      <w:r w:rsidR="00D45D6C">
        <w:t xml:space="preserve"> </w:t>
      </w:r>
      <w:r w:rsidR="00020BB3">
        <w:t xml:space="preserve">and </w:t>
      </w:r>
      <w:r w:rsidR="00D45D6C">
        <w:t xml:space="preserve">the National Data Commissioner to issue </w:t>
      </w:r>
      <w:r w:rsidR="00142CEF">
        <w:t xml:space="preserve">codes </w:t>
      </w:r>
      <w:r w:rsidR="00D76C6A">
        <w:t xml:space="preserve">that </w:t>
      </w:r>
      <w:r w:rsidR="00033C32">
        <w:t>detail how to apply</w:t>
      </w:r>
      <w:r w:rsidR="00D45D6C">
        <w:t xml:space="preserve"> the legal provision</w:t>
      </w:r>
      <w:r w:rsidR="00033C32">
        <w:t>s</w:t>
      </w:r>
      <w:r w:rsidR="00D45D6C">
        <w:t xml:space="preserve">. </w:t>
      </w:r>
      <w:r>
        <w:t xml:space="preserve">Guidelines and </w:t>
      </w:r>
      <w:r w:rsidR="00A26662">
        <w:t>g</w:t>
      </w:r>
      <w:r>
        <w:t>uidance to use the scheme</w:t>
      </w:r>
      <w:r w:rsidR="00D45D6C">
        <w:t xml:space="preserve"> provide another layer of prescriptive detail that participants need to consider when sharing</w:t>
      </w:r>
      <w:r w:rsidR="0008670B">
        <w:t xml:space="preserve"> data</w:t>
      </w:r>
      <w:r w:rsidR="00D45D6C">
        <w:t xml:space="preserve"> under the scheme</w:t>
      </w:r>
      <w:r>
        <w:t xml:space="preserve">. </w:t>
      </w:r>
      <w:r w:rsidR="00ED3FAC">
        <w:t>The National Data Commissioner will also set up operational and administrative systems to implement the scheme and support</w:t>
      </w:r>
      <w:r w:rsidR="00D76C6A">
        <w:t xml:space="preserve"> the</w:t>
      </w:r>
      <w:r w:rsidR="00ED3FAC">
        <w:t xml:space="preserve"> effective streamlining of data sharing processes.</w:t>
      </w:r>
    </w:p>
    <w:p w:rsidR="00F150BF" w:rsidRDefault="00F150BF" w:rsidP="001E078C">
      <w:pPr>
        <w:pStyle w:val="Caption"/>
        <w:keepNext/>
      </w:pPr>
      <w:r>
        <w:lastRenderedPageBreak/>
        <w:t xml:space="preserve">Figure </w:t>
      </w:r>
      <w:fldSimple w:instr=" SEQ Figure \* ARABIC ">
        <w:r w:rsidR="005D5D91">
          <w:rPr>
            <w:noProof/>
          </w:rPr>
          <w:t>1</w:t>
        </w:r>
      </w:fldSimple>
      <w:r>
        <w:t xml:space="preserve"> - </w:t>
      </w:r>
      <w:r w:rsidRPr="00871748">
        <w:t>Components of the data sharing scheme established by the Bill</w:t>
      </w:r>
    </w:p>
    <w:p w:rsidR="00FA35BF" w:rsidRDefault="00667D73" w:rsidP="00954949">
      <w:pPr>
        <w:rPr>
          <w:noProof/>
          <w:lang w:eastAsia="en-AU"/>
        </w:rPr>
      </w:pPr>
      <w:r w:rsidRPr="00667D73">
        <w:rPr>
          <w:noProof/>
          <w:lang w:eastAsia="en-AU"/>
        </w:rPr>
        <w:drawing>
          <wp:inline distT="0" distB="0" distL="0" distR="0" wp14:anchorId="6647724F" wp14:editId="77A73E9B">
            <wp:extent cx="5731510" cy="5774233"/>
            <wp:effectExtent l="0" t="0" r="2540" b="0"/>
            <wp:docPr id="4" name="Picture 4" descr="The Data Sharing Scheme has three elements. The first overarching element is the Data Availability and Transparency Bill. The Bill creates the data sharing scheme, including safeguards that are:&#10;• Accreditation&#10;• Data sharing purposes&#10;• Data sharing principles&#10;• Data sharing agreements&#10;• Transparency measures&#10;• An independent regulator, and&#10;• Redress and complaints. &#10;The next element are the instruments issued by the Minister or the National Data Commissioner. These instruments include regulations, rules, and data codes. The Governor-General may make regulations to prescribe when sharing is excluded. The Minister may make Rules to establish the accreditation framework. The National Data Commissioner may make data codes. &#10;The third element are the guidelines and guidance. The National Data Commissioner will publish Guidelines on the Bill, which data custodians and accredited entities must have regard to. The National Data Commissioner may also publish guidance. &#10;" title="Figure 1 - Componenets of the data sharing scheme established by the B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1510" cy="5774233"/>
                    </a:xfrm>
                    <a:prstGeom prst="rect">
                      <a:avLst/>
                    </a:prstGeom>
                    <a:noFill/>
                    <a:ln>
                      <a:noFill/>
                    </a:ln>
                  </pic:spPr>
                </pic:pic>
              </a:graphicData>
            </a:graphic>
          </wp:inline>
        </w:drawing>
      </w:r>
      <w:r w:rsidR="00BB2071" w:rsidDel="00BB2071">
        <w:rPr>
          <w:noProof/>
          <w:lang w:eastAsia="en-AU"/>
        </w:rPr>
        <w:t xml:space="preserve"> </w:t>
      </w:r>
    </w:p>
    <w:p w:rsidR="005C42DF" w:rsidRPr="00FF3F1D" w:rsidRDefault="002165E7" w:rsidP="003874D4">
      <w:pPr>
        <w:pStyle w:val="Heading2"/>
        <w:numPr>
          <w:ilvl w:val="1"/>
          <w:numId w:val="1"/>
        </w:numPr>
      </w:pPr>
      <w:bookmarkStart w:id="72" w:name="_Toc45194588"/>
      <w:bookmarkStart w:id="73" w:name="_Toc46909563"/>
      <w:bookmarkStart w:id="74" w:name="_Toc46910073"/>
      <w:bookmarkStart w:id="75" w:name="_Toc46910423"/>
      <w:bookmarkStart w:id="76" w:name="_Toc46910710"/>
      <w:bookmarkStart w:id="77" w:name="_Toc46911588"/>
      <w:bookmarkStart w:id="78" w:name="_Toc46911814"/>
      <w:bookmarkStart w:id="79" w:name="_Toc46914588"/>
      <w:bookmarkStart w:id="80" w:name="_Toc46914828"/>
      <w:bookmarkStart w:id="81" w:name="_Toc46917180"/>
      <w:bookmarkStart w:id="82" w:name="_Toc46919921"/>
      <w:bookmarkStart w:id="83" w:name="_Toc46920824"/>
      <w:bookmarkStart w:id="84" w:name="_Toc46921124"/>
      <w:bookmarkStart w:id="85" w:name="_Toc46922653"/>
      <w:bookmarkStart w:id="86" w:name="_Toc46924383"/>
      <w:bookmarkStart w:id="87" w:name="_Toc47444529"/>
      <w:bookmarkStart w:id="88" w:name="_Toc47444556"/>
      <w:bookmarkStart w:id="89" w:name="_Toc47976364"/>
      <w:bookmarkStart w:id="90" w:name="_Toc47977831"/>
      <w:bookmarkStart w:id="91" w:name="_Toc48113881"/>
      <w:bookmarkStart w:id="92" w:name="_Toc48151395"/>
      <w:bookmarkStart w:id="93" w:name="_Toc48151511"/>
      <w:bookmarkStart w:id="94" w:name="_Toc48151542"/>
      <w:bookmarkStart w:id="95" w:name="_Toc48151573"/>
      <w:bookmarkStart w:id="96" w:name="_Toc48151616"/>
      <w:bookmarkStart w:id="97" w:name="_Toc48316354"/>
      <w:bookmarkStart w:id="98" w:name="_Toc48316521"/>
      <w:bookmarkStart w:id="99" w:name="_Toc48392156"/>
      <w:bookmarkStart w:id="100" w:name="_Toc46911589"/>
      <w:bookmarkStart w:id="101" w:name="_Toc46920825"/>
      <w:bookmarkStart w:id="102" w:name="_Toc46921125"/>
      <w:bookmarkStart w:id="103" w:name="_Toc46924384"/>
      <w:bookmarkStart w:id="104" w:name="_Toc49965674"/>
      <w:bookmarkStart w:id="105" w:name="_Toc49968334"/>
      <w:bookmarkStart w:id="106" w:name="_Toc49970771"/>
      <w:bookmarkStart w:id="107" w:name="_Toc50909438"/>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770744">
        <w:t>K</w:t>
      </w:r>
      <w:r w:rsidRPr="00D6046B">
        <w:t>e</w:t>
      </w:r>
      <w:r w:rsidRPr="006F5A7A">
        <w:t>y</w:t>
      </w:r>
      <w:r>
        <w:t xml:space="preserve"> </w:t>
      </w:r>
      <w:r w:rsidRPr="00B11BDB">
        <w:t>concepts</w:t>
      </w:r>
      <w:r>
        <w:t xml:space="preserve"> of the data sharing scheme</w:t>
      </w:r>
      <w:bookmarkEnd w:id="100"/>
      <w:bookmarkEnd w:id="101"/>
      <w:bookmarkEnd w:id="102"/>
      <w:bookmarkEnd w:id="103"/>
      <w:bookmarkEnd w:id="104"/>
      <w:bookmarkEnd w:id="105"/>
      <w:bookmarkEnd w:id="106"/>
      <w:bookmarkEnd w:id="107"/>
      <w:r w:rsidR="005C42DF" w:rsidRPr="00B75CF6">
        <w:t xml:space="preserve"> </w:t>
      </w:r>
    </w:p>
    <w:p w:rsidR="00F97CB6" w:rsidRDefault="00F97CB6" w:rsidP="006D319F">
      <w:pPr>
        <w:rPr>
          <w:b/>
        </w:rPr>
      </w:pPr>
      <w:r w:rsidRPr="00770744">
        <w:t>T</w:t>
      </w:r>
      <w:r w:rsidR="006A0A98" w:rsidRPr="00FF3F1D">
        <w:t>he</w:t>
      </w:r>
      <w:r w:rsidR="006A0A98" w:rsidRPr="005150C7" w:rsidDel="00C77FC5">
        <w:t xml:space="preserve"> </w:t>
      </w:r>
      <w:r w:rsidRPr="005150C7">
        <w:t>Bill</w:t>
      </w:r>
      <w:r w:rsidRPr="00FF3F1D">
        <w:t xml:space="preserve"> will</w:t>
      </w:r>
      <w:r w:rsidRPr="00770744">
        <w:rPr>
          <w:b/>
        </w:rPr>
        <w:t xml:space="preserve"> </w:t>
      </w:r>
      <w:r w:rsidRPr="00CD2A88">
        <w:rPr>
          <w:b/>
        </w:rPr>
        <w:t>authorise</w:t>
      </w:r>
      <w:r w:rsidR="006A0A98" w:rsidRPr="00CD2A88">
        <w:rPr>
          <w:b/>
        </w:rPr>
        <w:t xml:space="preserve"> </w:t>
      </w:r>
      <w:r w:rsidRPr="00CD2A88">
        <w:rPr>
          <w:b/>
        </w:rPr>
        <w:t xml:space="preserve">sharing of </w:t>
      </w:r>
      <w:r w:rsidR="006A0A98" w:rsidRPr="00CD2A88">
        <w:rPr>
          <w:b/>
        </w:rPr>
        <w:t>public sector data by</w:t>
      </w:r>
      <w:r w:rsidRPr="00CD2A88">
        <w:rPr>
          <w:b/>
        </w:rPr>
        <w:t xml:space="preserve"> </w:t>
      </w:r>
      <w:r w:rsidR="006A0A98" w:rsidRPr="00CD2A88">
        <w:rPr>
          <w:b/>
        </w:rPr>
        <w:t>data custodians with an accredited user</w:t>
      </w:r>
      <w:r w:rsidR="00020BB3">
        <w:rPr>
          <w:b/>
        </w:rPr>
        <w:t>,</w:t>
      </w:r>
      <w:r w:rsidR="00CD2A88" w:rsidRPr="00CD2A88">
        <w:rPr>
          <w:b/>
        </w:rPr>
        <w:t xml:space="preserve"> only</w:t>
      </w:r>
      <w:r w:rsidR="00BC6619" w:rsidRPr="00CD2A88">
        <w:rPr>
          <w:b/>
        </w:rPr>
        <w:t xml:space="preserve"> for </w:t>
      </w:r>
      <w:r w:rsidR="00C77FC5">
        <w:rPr>
          <w:b/>
        </w:rPr>
        <w:t>the permitted data sharing purposes</w:t>
      </w:r>
      <w:r w:rsidR="006A0A98" w:rsidRPr="00CD2A88">
        <w:rPr>
          <w:b/>
        </w:rPr>
        <w:t xml:space="preserve"> and </w:t>
      </w:r>
      <w:r w:rsidR="00CD2A88" w:rsidRPr="00CD2A88">
        <w:rPr>
          <w:b/>
        </w:rPr>
        <w:t>only if</w:t>
      </w:r>
      <w:r w:rsidR="002E0B94">
        <w:rPr>
          <w:b/>
        </w:rPr>
        <w:t xml:space="preserve"> effective</w:t>
      </w:r>
      <w:r w:rsidR="006A0A98" w:rsidRPr="00CD2A88">
        <w:rPr>
          <w:b/>
        </w:rPr>
        <w:t xml:space="preserve"> safeguards are </w:t>
      </w:r>
      <w:r w:rsidR="002E0B94">
        <w:rPr>
          <w:b/>
        </w:rPr>
        <w:t>in place</w:t>
      </w:r>
      <w:r w:rsidR="006A0A98" w:rsidRPr="00CD2A88">
        <w:t>.</w:t>
      </w:r>
      <w:r w:rsidR="00BC6619" w:rsidRPr="00FF3F1D">
        <w:rPr>
          <w:b/>
        </w:rPr>
        <w:t xml:space="preserve"> </w:t>
      </w:r>
    </w:p>
    <w:p w:rsidR="00D33BF8" w:rsidRPr="0033384D" w:rsidRDefault="00D33BF8" w:rsidP="001E078C">
      <w:pPr>
        <w:pStyle w:val="IntenseQuote"/>
      </w:pPr>
      <w:r w:rsidRPr="00D33BF8">
        <w:t>“</w:t>
      </w:r>
      <w:r w:rsidRPr="0033384D">
        <w:t xml:space="preserve">The Data Availability and Transparency Bill will authorise sharing of public sector data by data custodians with an accredited user, only for </w:t>
      </w:r>
      <w:r w:rsidR="008571C6">
        <w:t xml:space="preserve">the </w:t>
      </w:r>
      <w:r w:rsidRPr="0033384D">
        <w:t xml:space="preserve">permitted </w:t>
      </w:r>
      <w:r w:rsidR="00C77FC5">
        <w:t xml:space="preserve">data sharing </w:t>
      </w:r>
      <w:r w:rsidRPr="0033384D">
        <w:t>purposes and only if effective safeguards are in place.</w:t>
      </w:r>
      <w:r w:rsidRPr="00D33BF8">
        <w:t>”</w:t>
      </w:r>
    </w:p>
    <w:p w:rsidR="002165E7" w:rsidRDefault="00F97CB6" w:rsidP="00F97CB6">
      <w:r>
        <w:t>T</w:t>
      </w:r>
      <w:r w:rsidRPr="00532586">
        <w:t>he Bill provides an</w:t>
      </w:r>
      <w:r w:rsidR="00F20305">
        <w:t xml:space="preserve"> optional and</w:t>
      </w:r>
      <w:r w:rsidRPr="00532586">
        <w:t xml:space="preserve"> alternative </w:t>
      </w:r>
      <w:r w:rsidRPr="00FF3F1D">
        <w:rPr>
          <w:b/>
        </w:rPr>
        <w:t>authority</w:t>
      </w:r>
      <w:r w:rsidRPr="00532586">
        <w:t xml:space="preserve"> for the </w:t>
      </w:r>
      <w:r w:rsidR="008571C6">
        <w:t>Australian G</w:t>
      </w:r>
      <w:r w:rsidRPr="00532586">
        <w:t xml:space="preserve">overnment to </w:t>
      </w:r>
      <w:r w:rsidRPr="00B11BDB">
        <w:t>share</w:t>
      </w:r>
      <w:r w:rsidR="00BC6619">
        <w:t xml:space="preserve"> </w:t>
      </w:r>
      <w:r>
        <w:t>public sector data.</w:t>
      </w:r>
      <w:r>
        <w:rPr>
          <w:rStyle w:val="FootnoteReference"/>
        </w:rPr>
        <w:footnoteReference w:id="17"/>
      </w:r>
      <w:r>
        <w:t xml:space="preserve"> </w:t>
      </w:r>
      <w:r w:rsidR="00AE7B45">
        <w:t xml:space="preserve">The authority is </w:t>
      </w:r>
      <w:r w:rsidR="00016755">
        <w:t xml:space="preserve">considered </w:t>
      </w:r>
      <w:r w:rsidR="004269DD" w:rsidRPr="009571A4">
        <w:rPr>
          <w:i/>
        </w:rPr>
        <w:t>optional</w:t>
      </w:r>
      <w:r w:rsidR="004269DD">
        <w:t xml:space="preserve"> </w:t>
      </w:r>
      <w:r w:rsidR="00AE7B45">
        <w:t xml:space="preserve">as </w:t>
      </w:r>
      <w:r w:rsidR="006F6E85">
        <w:t>there is no obligation to share</w:t>
      </w:r>
      <w:r w:rsidR="00D358A4">
        <w:t>;</w:t>
      </w:r>
      <w:r w:rsidR="006F6E85">
        <w:t xml:space="preserve"> </w:t>
      </w:r>
      <w:r w:rsidR="004269DD">
        <w:t xml:space="preserve">and </w:t>
      </w:r>
      <w:r w:rsidR="004269DD" w:rsidRPr="009571A4">
        <w:rPr>
          <w:i/>
        </w:rPr>
        <w:t>alternative</w:t>
      </w:r>
      <w:r w:rsidR="004269DD">
        <w:t xml:space="preserve"> as </w:t>
      </w:r>
      <w:r w:rsidR="00AE7B45">
        <w:t xml:space="preserve">existing pathways may continue to be </w:t>
      </w:r>
      <w:r w:rsidR="00AE7B45">
        <w:lastRenderedPageBreak/>
        <w:t>used to authorise sharing</w:t>
      </w:r>
      <w:r w:rsidR="00D358A4">
        <w:t xml:space="preserve"> </w:t>
      </w:r>
      <w:r w:rsidR="004269DD">
        <w:t>where</w:t>
      </w:r>
      <w:r w:rsidR="00D358A4">
        <w:t xml:space="preserve"> they are working effectively for all parties</w:t>
      </w:r>
      <w:r w:rsidR="00AE7B45">
        <w:t>.</w:t>
      </w:r>
      <w:r>
        <w:t xml:space="preserve"> </w:t>
      </w:r>
      <w:r w:rsidR="002165E7" w:rsidRPr="00C97E09">
        <w:t xml:space="preserve">Data </w:t>
      </w:r>
      <w:r w:rsidR="002165E7" w:rsidRPr="00BE2357">
        <w:rPr>
          <w:b/>
        </w:rPr>
        <w:t>sharing</w:t>
      </w:r>
      <w:r w:rsidR="002165E7">
        <w:rPr>
          <w:b/>
        </w:rPr>
        <w:t xml:space="preserve"> </w:t>
      </w:r>
      <w:r w:rsidR="002165E7">
        <w:t>means providing controlled access to data and does not include open data release.</w:t>
      </w:r>
    </w:p>
    <w:p w:rsidR="00F97CB6" w:rsidRPr="00E5596D" w:rsidRDefault="00BC6619" w:rsidP="00F97CB6">
      <w:r w:rsidRPr="003045CF">
        <w:rPr>
          <w:b/>
        </w:rPr>
        <w:t>Public sector data</w:t>
      </w:r>
      <w:r>
        <w:t xml:space="preserve"> </w:t>
      </w:r>
      <w:r w:rsidR="00F975E0" w:rsidRPr="003E4BFE">
        <w:t>is data lawfully collected, created</w:t>
      </w:r>
      <w:r w:rsidR="00F05160">
        <w:t>,</w:t>
      </w:r>
      <w:r w:rsidR="00F975E0" w:rsidRPr="003E4BFE">
        <w:t xml:space="preserve"> or held by or on behalf of a Commonwealth body</w:t>
      </w:r>
      <w:r w:rsidR="00F975E0">
        <w:t xml:space="preserve">. </w:t>
      </w:r>
    </w:p>
    <w:p w:rsidR="00F97CB6" w:rsidRDefault="00F97CB6" w:rsidP="00F97CB6">
      <w:r>
        <w:t>A Commonwealth body</w:t>
      </w:r>
      <w:r w:rsidR="0032537A">
        <w:rPr>
          <w:rStyle w:val="FootnoteReference"/>
        </w:rPr>
        <w:footnoteReference w:id="18"/>
      </w:r>
      <w:r>
        <w:t xml:space="preserve"> is the </w:t>
      </w:r>
      <w:r w:rsidRPr="00C039BE">
        <w:rPr>
          <w:b/>
        </w:rPr>
        <w:t>d</w:t>
      </w:r>
      <w:r>
        <w:rPr>
          <w:b/>
        </w:rPr>
        <w:t>ata c</w:t>
      </w:r>
      <w:r w:rsidRPr="00BE2357">
        <w:rPr>
          <w:b/>
        </w:rPr>
        <w:t>ustodian</w:t>
      </w:r>
      <w:r>
        <w:t xml:space="preserve"> of public sector data </w:t>
      </w:r>
      <w:r w:rsidR="00BF72E1">
        <w:t xml:space="preserve">that </w:t>
      </w:r>
      <w:r w:rsidR="006F5E83">
        <w:t xml:space="preserve">they </w:t>
      </w:r>
      <w:r w:rsidR="00BC6619">
        <w:t xml:space="preserve">control </w:t>
      </w:r>
      <w:r w:rsidR="00941311">
        <w:t xml:space="preserve">and </w:t>
      </w:r>
      <w:r>
        <w:t>ha</w:t>
      </w:r>
      <w:r w:rsidR="006F5E83">
        <w:t xml:space="preserve">ve </w:t>
      </w:r>
      <w:r>
        <w:t xml:space="preserve">the right to deal with. Data custodians must establish they have the authority to enter into a data sharing arrangement for the data </w:t>
      </w:r>
      <w:r w:rsidR="002E0B94">
        <w:t>they wish to share</w:t>
      </w:r>
      <w:r w:rsidR="00973A56">
        <w:t>.</w:t>
      </w:r>
      <w:r>
        <w:t xml:space="preserve"> </w:t>
      </w:r>
      <w:r w:rsidR="00973A56">
        <w:t>T</w:t>
      </w:r>
      <w:r>
        <w:t>his may include a consideration of the conditions under which the data were collected, including other laws,</w:t>
      </w:r>
      <w:r w:rsidR="006F5E83">
        <w:t xml:space="preserve"> conditions of</w:t>
      </w:r>
      <w:r>
        <w:t xml:space="preserve"> collection</w:t>
      </w:r>
      <w:r w:rsidR="00F05160">
        <w:t>,</w:t>
      </w:r>
      <w:r>
        <w:t xml:space="preserve"> or contract</w:t>
      </w:r>
      <w:r w:rsidR="006F5E83">
        <w:t>ual arrangements</w:t>
      </w:r>
      <w:r>
        <w:t xml:space="preserve">. </w:t>
      </w:r>
    </w:p>
    <w:p w:rsidR="00C655EC" w:rsidRDefault="00C655EC" w:rsidP="00812545">
      <w:r>
        <w:t xml:space="preserve">To </w:t>
      </w:r>
      <w:r w:rsidR="00A739FD">
        <w:t>access data</w:t>
      </w:r>
      <w:r w:rsidR="00155AEC">
        <w:t xml:space="preserve"> under this scheme</w:t>
      </w:r>
      <w:r>
        <w:t>, users must</w:t>
      </w:r>
      <w:r w:rsidR="00155AEC" w:rsidDel="00C655EC">
        <w:t xml:space="preserve"> be</w:t>
      </w:r>
      <w:r w:rsidR="00155AEC">
        <w:t xml:space="preserve"> </w:t>
      </w:r>
      <w:r w:rsidR="00155AEC" w:rsidRPr="00716C51">
        <w:rPr>
          <w:b/>
        </w:rPr>
        <w:t>accredited</w:t>
      </w:r>
      <w:r w:rsidR="00155AEC">
        <w:t xml:space="preserve"> by the National Data Commissioner</w:t>
      </w:r>
      <w:r w:rsidR="003347C3">
        <w:t xml:space="preserve"> through R</w:t>
      </w:r>
      <w:r w:rsidR="00155AEC">
        <w:t xml:space="preserve">ules established by the Minister. Accreditation </w:t>
      </w:r>
      <w:r w:rsidR="00155AEC" w:rsidDel="000B235A">
        <w:t>streamline</w:t>
      </w:r>
      <w:r w:rsidR="0093134E">
        <w:t>s</w:t>
      </w:r>
      <w:r w:rsidR="00155AEC" w:rsidDel="000B235A">
        <w:t xml:space="preserve"> access by ensuring users meet requirements on security, privacy, governance, and technical skills and capabilities</w:t>
      </w:r>
      <w:r w:rsidR="00155AEC">
        <w:t>.</w:t>
      </w:r>
      <w:r w:rsidR="00812545" w:rsidDel="007E5926">
        <w:t xml:space="preserve"> </w:t>
      </w:r>
      <w:r w:rsidR="00A63EC2">
        <w:t>T</w:t>
      </w:r>
      <w:r>
        <w:t xml:space="preserve">he Bill also allows the Commissioner to accredit experts as </w:t>
      </w:r>
      <w:r w:rsidRPr="009B5618">
        <w:rPr>
          <w:b/>
        </w:rPr>
        <w:t>accredited data service providers</w:t>
      </w:r>
      <w:r>
        <w:t xml:space="preserve"> to help </w:t>
      </w:r>
      <w:r w:rsidRPr="00B77EAB">
        <w:t>share data safely</w:t>
      </w:r>
      <w:r w:rsidR="001C46BA">
        <w:t>,</w:t>
      </w:r>
      <w:r w:rsidRPr="00B77EAB">
        <w:t xml:space="preserve"> </w:t>
      </w:r>
      <w:r>
        <w:t xml:space="preserve">making </w:t>
      </w:r>
      <w:r w:rsidRPr="00B77EAB">
        <w:t>us</w:t>
      </w:r>
      <w:r>
        <w:t>e of</w:t>
      </w:r>
      <w:r w:rsidRPr="00B77EAB">
        <w:t xml:space="preserve"> contemporary tools and techniques</w:t>
      </w:r>
      <w:r>
        <w:t xml:space="preserve">. Accredited data service providers </w:t>
      </w:r>
      <w:r w:rsidR="00A63EC2">
        <w:t>must</w:t>
      </w:r>
      <w:r>
        <w:t xml:space="preserve"> me</w:t>
      </w:r>
      <w:r w:rsidR="00A63EC2">
        <w:t>e</w:t>
      </w:r>
      <w:r>
        <w:t xml:space="preserve">t </w:t>
      </w:r>
      <w:r w:rsidR="00860947">
        <w:t xml:space="preserve">the </w:t>
      </w:r>
      <w:r>
        <w:t>accreditation criteria set by the Minister in rules.</w:t>
      </w:r>
      <w:r w:rsidR="0032537A">
        <w:rPr>
          <w:rStyle w:val="FootnoteReference"/>
        </w:rPr>
        <w:t xml:space="preserve"> </w:t>
      </w:r>
    </w:p>
    <w:p w:rsidR="00BC6619" w:rsidRDefault="00BC6619" w:rsidP="00BC6619">
      <w:r w:rsidRPr="00FF3F1D">
        <w:rPr>
          <w:b/>
        </w:rPr>
        <w:t xml:space="preserve">Permitted </w:t>
      </w:r>
      <w:r w:rsidR="00A63EC2">
        <w:rPr>
          <w:b/>
        </w:rPr>
        <w:t xml:space="preserve">data sharing </w:t>
      </w:r>
      <w:r w:rsidRPr="00FF3F1D">
        <w:rPr>
          <w:b/>
        </w:rPr>
        <w:t>purposes</w:t>
      </w:r>
      <w:r w:rsidRPr="00716C51">
        <w:t xml:space="preserve"> for sharing </w:t>
      </w:r>
      <w:r w:rsidR="007E5926">
        <w:t xml:space="preserve">data </w:t>
      </w:r>
      <w:r w:rsidRPr="00716C51">
        <w:t xml:space="preserve">are </w:t>
      </w:r>
      <w:r w:rsidR="006104AA">
        <w:t>for</w:t>
      </w:r>
      <w:r w:rsidRPr="00716C51">
        <w:t xml:space="preserve"> delivery of government services</w:t>
      </w:r>
      <w:r w:rsidR="006104AA">
        <w:t>, to inform</w:t>
      </w:r>
      <w:r w:rsidRPr="00716C51">
        <w:t xml:space="preserve"> government policy and programs, and </w:t>
      </w:r>
      <w:r w:rsidR="006104AA">
        <w:t xml:space="preserve">for </w:t>
      </w:r>
      <w:r w:rsidRPr="00716C51">
        <w:t xml:space="preserve">research and development. </w:t>
      </w:r>
      <w:r>
        <w:t>The Bill</w:t>
      </w:r>
      <w:r w:rsidR="00663441">
        <w:t xml:space="preserve"> does not authorise sharing for </w:t>
      </w:r>
      <w:r>
        <w:rPr>
          <w:b/>
        </w:rPr>
        <w:t>preclude</w:t>
      </w:r>
      <w:r w:rsidR="00663441">
        <w:rPr>
          <w:b/>
        </w:rPr>
        <w:t>d</w:t>
      </w:r>
      <w:r w:rsidR="007C5C22">
        <w:rPr>
          <w:b/>
        </w:rPr>
        <w:t xml:space="preserve"> </w:t>
      </w:r>
      <w:r w:rsidR="001C46BA">
        <w:rPr>
          <w:b/>
        </w:rPr>
        <w:t>purposes,</w:t>
      </w:r>
      <w:r w:rsidR="001C46BA" w:rsidRPr="008E7105">
        <w:t xml:space="preserve"> including</w:t>
      </w:r>
      <w:r w:rsidR="00663441">
        <w:rPr>
          <w:b/>
        </w:rPr>
        <w:t xml:space="preserve"> </w:t>
      </w:r>
      <w:r w:rsidRPr="008E7105">
        <w:t>enforcement</w:t>
      </w:r>
      <w:r w:rsidR="00860947">
        <w:t>-</w:t>
      </w:r>
      <w:r w:rsidRPr="008E7105">
        <w:t xml:space="preserve">related purposes, </w:t>
      </w:r>
      <w:r w:rsidR="00663441">
        <w:t>for example for</w:t>
      </w:r>
      <w:r w:rsidR="00FF5835" w:rsidRPr="00FF5835">
        <w:t xml:space="preserve"> </w:t>
      </w:r>
      <w:r>
        <w:t>law enforcement</w:t>
      </w:r>
      <w:r w:rsidR="00FF5835" w:rsidRPr="00FF5835">
        <w:t>,</w:t>
      </w:r>
      <w:r>
        <w:t xml:space="preserve"> compliance</w:t>
      </w:r>
      <w:r w:rsidR="00860947">
        <w:t>,</w:t>
      </w:r>
      <w:r w:rsidR="00FF5835" w:rsidRPr="00FF5835">
        <w:t xml:space="preserve"> </w:t>
      </w:r>
      <w:r w:rsidR="007C5C22" w:rsidRPr="007C5C22">
        <w:t xml:space="preserve">and </w:t>
      </w:r>
      <w:r w:rsidR="00FF5835" w:rsidRPr="00FF5835">
        <w:t>assurance</w:t>
      </w:r>
      <w:r w:rsidR="00663441">
        <w:t xml:space="preserve"> purposes</w:t>
      </w:r>
      <w:r w:rsidR="00FF5835" w:rsidRPr="00FF5835">
        <w:t xml:space="preserve">. It also </w:t>
      </w:r>
      <w:r w:rsidR="0017098A">
        <w:t>precludes</w:t>
      </w:r>
      <w:r w:rsidR="0017098A" w:rsidRPr="00FF5835">
        <w:t xml:space="preserve"> </w:t>
      </w:r>
      <w:r w:rsidR="007C5C22">
        <w:t xml:space="preserve">sharing for a </w:t>
      </w:r>
      <w:r w:rsidR="00FF5835" w:rsidRPr="008E7105">
        <w:t>purpose related</w:t>
      </w:r>
      <w:r w:rsidR="007C5C22">
        <w:t xml:space="preserve"> to,</w:t>
      </w:r>
      <w:r w:rsidR="00FF5835" w:rsidRPr="008E7105">
        <w:t xml:space="preserve"> or </w:t>
      </w:r>
      <w:r w:rsidR="007C5C22">
        <w:t xml:space="preserve">that </w:t>
      </w:r>
      <w:r w:rsidR="00FF5835" w:rsidRPr="008E7105">
        <w:t>prejudic</w:t>
      </w:r>
      <w:r w:rsidR="007C5C22">
        <w:t>es,</w:t>
      </w:r>
      <w:r>
        <w:t xml:space="preserve"> </w:t>
      </w:r>
      <w:r w:rsidRPr="008E7105">
        <w:t>national security</w:t>
      </w:r>
      <w:r w:rsidR="007C5C22">
        <w:t>. National security is</w:t>
      </w:r>
      <w:r w:rsidR="00FF5835" w:rsidRPr="00FF5835">
        <w:t xml:space="preserve"> defined as Australia’s defence, security, international relations</w:t>
      </w:r>
      <w:r w:rsidR="00860947">
        <w:t>,</w:t>
      </w:r>
      <w:r w:rsidR="00FF5835" w:rsidRPr="00FF5835">
        <w:t xml:space="preserve"> or law enforcement interests</w:t>
      </w:r>
      <w:r w:rsidR="00FF5835">
        <w:t>.</w:t>
      </w:r>
      <w:r>
        <w:t xml:space="preserve"> While</w:t>
      </w:r>
      <w:r w:rsidR="002E0B94">
        <w:t xml:space="preserve"> the</w:t>
      </w:r>
      <w:r w:rsidR="007C5C22">
        <w:t>se</w:t>
      </w:r>
      <w:r w:rsidR="002E0B94">
        <w:t xml:space="preserve"> precluded purposes are considered</w:t>
      </w:r>
      <w:r>
        <w:t xml:space="preserve"> legitimate functions of government, they are more appropriately managed through existing pathways with their oversight and redress mechanisms. </w:t>
      </w:r>
    </w:p>
    <w:p w:rsidR="00155AEC" w:rsidRDefault="00155AEC" w:rsidP="00155AEC">
      <w:pPr>
        <w:rPr>
          <w:b/>
        </w:rPr>
      </w:pPr>
      <w:r>
        <w:t xml:space="preserve">The Bill provides layers of </w:t>
      </w:r>
      <w:r w:rsidRPr="00FF3F1D">
        <w:rPr>
          <w:b/>
        </w:rPr>
        <w:t>safeguards</w:t>
      </w:r>
      <w:r>
        <w:t xml:space="preserve">, including the </w:t>
      </w:r>
      <w:r w:rsidR="00E173E1" w:rsidRPr="00E173E1">
        <w:rPr>
          <w:b/>
        </w:rPr>
        <w:t>data sharing principle</w:t>
      </w:r>
      <w:r w:rsidRPr="006D46B2">
        <w:rPr>
          <w:b/>
        </w:rPr>
        <w:t>s</w:t>
      </w:r>
      <w:r>
        <w:t xml:space="preserve">, which </w:t>
      </w:r>
      <w:r w:rsidDel="00812545">
        <w:t xml:space="preserve">are </w:t>
      </w:r>
      <w:r w:rsidR="007F3393">
        <w:t xml:space="preserve">based on </w:t>
      </w:r>
      <w:r w:rsidR="0093134E">
        <w:t xml:space="preserve">an </w:t>
      </w:r>
      <w:r w:rsidR="007F3393">
        <w:t>internationally recognised framework for managing risks associated with sharing data.</w:t>
      </w:r>
      <w:r w:rsidR="0032537A">
        <w:rPr>
          <w:rStyle w:val="FootnoteReference"/>
        </w:rPr>
        <w:footnoteReference w:id="19"/>
      </w:r>
      <w:r w:rsidR="007F3393">
        <w:t xml:space="preserve"> </w:t>
      </w:r>
      <w:r w:rsidR="002165E7">
        <w:t xml:space="preserve">The </w:t>
      </w:r>
      <w:r w:rsidR="008D1281">
        <w:t>p</w:t>
      </w:r>
      <w:r w:rsidR="002165E7">
        <w:t>rinciples</w:t>
      </w:r>
      <w:r w:rsidR="00812545" w:rsidRPr="00044D0A" w:rsidDel="00812545">
        <w:t xml:space="preserve"> </w:t>
      </w:r>
      <w:r w:rsidR="002165E7" w:rsidRPr="00044D0A" w:rsidDel="00812545">
        <w:t xml:space="preserve">guide how risks are assessed and </w:t>
      </w:r>
      <w:r w:rsidR="002165E7" w:rsidRPr="00044D0A" w:rsidDel="00812545">
        <w:lastRenderedPageBreak/>
        <w:t>managed</w:t>
      </w:r>
      <w:r w:rsidR="002165E7" w:rsidDel="00812545">
        <w:t xml:space="preserve"> and </w:t>
      </w:r>
      <w:r w:rsidR="002165E7">
        <w:t xml:space="preserve">must be applied </w:t>
      </w:r>
      <w:r w:rsidR="006E4C61">
        <w:t xml:space="preserve">to </w:t>
      </w:r>
      <w:r w:rsidR="002165E7">
        <w:t>each data sharing project</w:t>
      </w:r>
      <w:r w:rsidR="002165E7" w:rsidDel="00812545">
        <w:t xml:space="preserve"> across five dimensions (project</w:t>
      </w:r>
      <w:r w:rsidR="00F20305">
        <w:t>s</w:t>
      </w:r>
      <w:r w:rsidR="002165E7" w:rsidDel="00812545">
        <w:t xml:space="preserve">, people, data, </w:t>
      </w:r>
      <w:r w:rsidR="00F20305">
        <w:t>settings</w:t>
      </w:r>
      <w:r w:rsidR="002165E7" w:rsidDel="00812545">
        <w:t>, and output</w:t>
      </w:r>
      <w:r w:rsidR="00F20305">
        <w:t>s</w:t>
      </w:r>
      <w:r w:rsidR="002165E7" w:rsidDel="00812545">
        <w:t>)</w:t>
      </w:r>
      <w:r w:rsidR="002165E7">
        <w:t>.</w:t>
      </w:r>
      <w:r w:rsidR="0032537A">
        <w:rPr>
          <w:rStyle w:val="FootnoteReference"/>
        </w:rPr>
        <w:footnoteReference w:id="20"/>
      </w:r>
      <w:r w:rsidR="0032537A">
        <w:t xml:space="preserve"> </w:t>
      </w:r>
    </w:p>
    <w:p w:rsidR="008325E6" w:rsidRDefault="002165E7" w:rsidP="00BC6619">
      <w:r>
        <w:t xml:space="preserve">A </w:t>
      </w:r>
      <w:r w:rsidRPr="00FF3F1D">
        <w:rPr>
          <w:b/>
        </w:rPr>
        <w:t>data sharing agreement</w:t>
      </w:r>
      <w:r>
        <w:t xml:space="preserve"> formalises the data sharing arrangements, including </w:t>
      </w:r>
      <w:r w:rsidDel="00812545">
        <w:t xml:space="preserve">detailing </w:t>
      </w:r>
      <w:r w:rsidR="007F3393">
        <w:t>what</w:t>
      </w:r>
      <w:r w:rsidDel="00812545">
        <w:t xml:space="preserve"> safeguards are </w:t>
      </w:r>
      <w:r w:rsidR="007F3393">
        <w:t>in place</w:t>
      </w:r>
      <w:r>
        <w:t>. The National Data</w:t>
      </w:r>
      <w:r w:rsidR="008325E6">
        <w:t xml:space="preserve"> Commissioner will publish</w:t>
      </w:r>
      <w:r w:rsidR="00CD2A88">
        <w:t xml:space="preserve"> details of </w:t>
      </w:r>
      <w:r w:rsidR="00CD2A88" w:rsidDel="00812545">
        <w:t xml:space="preserve">the </w:t>
      </w:r>
      <w:r w:rsidR="00CD2A88">
        <w:t>agreement</w:t>
      </w:r>
      <w:r w:rsidR="008325E6">
        <w:t xml:space="preserve"> to build transparency and accountability in the data sharing scheme. </w:t>
      </w:r>
    </w:p>
    <w:p w:rsidR="007F7BD2" w:rsidRDefault="008325E6" w:rsidP="00BC6619">
      <w:r>
        <w:t xml:space="preserve">The National Data Commissioner will </w:t>
      </w:r>
      <w:r w:rsidRPr="00FF3F1D">
        <w:rPr>
          <w:b/>
        </w:rPr>
        <w:t>overs</w:t>
      </w:r>
      <w:r w:rsidR="001C46BA">
        <w:rPr>
          <w:b/>
        </w:rPr>
        <w:t>ee</w:t>
      </w:r>
      <w:r>
        <w:t xml:space="preserve"> the scheme and report annually on its</w:t>
      </w:r>
      <w:r w:rsidR="008B448A">
        <w:t xml:space="preserve"> integrity and</w:t>
      </w:r>
      <w:r>
        <w:t xml:space="preserve"> operation. </w:t>
      </w:r>
      <w:r w:rsidR="002F069F">
        <w:t>T</w:t>
      </w:r>
      <w:r w:rsidR="00973A56">
        <w:t>he Commissioner</w:t>
      </w:r>
      <w:r w:rsidR="008B448A">
        <w:t xml:space="preserve"> will also educate and promote good data practices, including </w:t>
      </w:r>
      <w:r w:rsidR="00973A56">
        <w:t xml:space="preserve">data </w:t>
      </w:r>
      <w:r w:rsidR="008B448A">
        <w:t xml:space="preserve">management and governance. </w:t>
      </w:r>
    </w:p>
    <w:p w:rsidR="00953ACB" w:rsidRDefault="007B46F5" w:rsidP="003874D4">
      <w:pPr>
        <w:pStyle w:val="Heading2"/>
        <w:numPr>
          <w:ilvl w:val="1"/>
          <w:numId w:val="1"/>
        </w:numPr>
      </w:pPr>
      <w:bookmarkStart w:id="108" w:name="_Toc50909128"/>
      <w:bookmarkStart w:id="109" w:name="_Toc50909439"/>
      <w:bookmarkStart w:id="110" w:name="_Toc50909129"/>
      <w:bookmarkStart w:id="111" w:name="_Toc50909440"/>
      <w:bookmarkStart w:id="112" w:name="_Toc50909130"/>
      <w:bookmarkStart w:id="113" w:name="_Toc50909441"/>
      <w:bookmarkStart w:id="114" w:name="_Toc49965675"/>
      <w:bookmarkStart w:id="115" w:name="_Toc49968335"/>
      <w:bookmarkStart w:id="116" w:name="_Toc49970772"/>
      <w:bookmarkStart w:id="117" w:name="_Toc50909442"/>
      <w:bookmarkEnd w:id="108"/>
      <w:bookmarkEnd w:id="109"/>
      <w:bookmarkEnd w:id="110"/>
      <w:bookmarkEnd w:id="111"/>
      <w:bookmarkEnd w:id="112"/>
      <w:bookmarkEnd w:id="113"/>
      <w:r>
        <w:t>The</w:t>
      </w:r>
      <w:r w:rsidR="009F77F4">
        <w:t xml:space="preserve"> data sharing scheme</w:t>
      </w:r>
      <w:r>
        <w:t xml:space="preserve"> in practice</w:t>
      </w:r>
      <w:bookmarkEnd w:id="114"/>
      <w:bookmarkEnd w:id="115"/>
      <w:bookmarkEnd w:id="116"/>
      <w:bookmarkEnd w:id="117"/>
    </w:p>
    <w:p w:rsidR="00751E97" w:rsidRDefault="00751E97" w:rsidP="00751E97">
      <w:pPr>
        <w:spacing w:before="120" w:after="120" w:line="259" w:lineRule="auto"/>
      </w:pPr>
      <w:r>
        <w:t xml:space="preserve">The Bill </w:t>
      </w:r>
      <w:r w:rsidR="00CD2A88">
        <w:t xml:space="preserve">ensures data is only shared if prescribed conditions are met. It includes </w:t>
      </w:r>
      <w:r w:rsidR="00A50083">
        <w:t>l</w:t>
      </w:r>
      <w:r>
        <w:t xml:space="preserve">ayers of </w:t>
      </w:r>
      <w:r w:rsidR="00A50083">
        <w:t xml:space="preserve">safeguards </w:t>
      </w:r>
      <w:r>
        <w:t>to</w:t>
      </w:r>
      <w:r w:rsidR="00A50083">
        <w:t xml:space="preserve"> build trust in the data sharing scheme and its operation</w:t>
      </w:r>
      <w:r w:rsidR="00CD2A88">
        <w:t xml:space="preserve">, </w:t>
      </w:r>
      <w:r w:rsidR="00A50083">
        <w:t>includ</w:t>
      </w:r>
      <w:r w:rsidR="00CD2A88">
        <w:t>ing</w:t>
      </w:r>
      <w:r w:rsidR="00A50083">
        <w:t xml:space="preserve">:  </w:t>
      </w:r>
    </w:p>
    <w:p w:rsidR="002421C4" w:rsidRDefault="002421C4" w:rsidP="002421C4">
      <w:pPr>
        <w:pStyle w:val="ListParagraph"/>
        <w:numPr>
          <w:ilvl w:val="0"/>
          <w:numId w:val="13"/>
        </w:numPr>
        <w:spacing w:before="120" w:after="280" w:line="259" w:lineRule="auto"/>
      </w:pPr>
      <w:r>
        <w:t xml:space="preserve">an </w:t>
      </w:r>
      <w:r w:rsidR="00AC6A95">
        <w:rPr>
          <w:b/>
        </w:rPr>
        <w:t>a</w:t>
      </w:r>
      <w:r w:rsidRPr="00E173E1">
        <w:rPr>
          <w:b/>
        </w:rPr>
        <w:t xml:space="preserve">ccreditation </w:t>
      </w:r>
      <w:r w:rsidR="00AC6A95">
        <w:rPr>
          <w:b/>
        </w:rPr>
        <w:t>f</w:t>
      </w:r>
      <w:r w:rsidRPr="00E173E1">
        <w:rPr>
          <w:b/>
        </w:rPr>
        <w:t xml:space="preserve">ramework </w:t>
      </w:r>
      <w:r>
        <w:t>to control entry into the data sharing scheme and establish users’ and service providers’ data capability</w:t>
      </w:r>
    </w:p>
    <w:p w:rsidR="00751E97" w:rsidRDefault="00AD73EF" w:rsidP="00F22E3A">
      <w:pPr>
        <w:pStyle w:val="ListParagraph"/>
        <w:numPr>
          <w:ilvl w:val="0"/>
          <w:numId w:val="13"/>
        </w:numPr>
        <w:spacing w:before="120" w:after="280" w:line="259" w:lineRule="auto"/>
      </w:pPr>
      <w:r>
        <w:rPr>
          <w:b/>
        </w:rPr>
        <w:t>data sharing</w:t>
      </w:r>
      <w:r w:rsidRPr="00EE0D95">
        <w:rPr>
          <w:b/>
        </w:rPr>
        <w:t xml:space="preserve"> </w:t>
      </w:r>
      <w:r w:rsidR="00751E97" w:rsidRPr="00EE0D95">
        <w:rPr>
          <w:b/>
        </w:rPr>
        <w:t xml:space="preserve">purposes </w:t>
      </w:r>
      <w:r w:rsidR="00751E97">
        <w:t xml:space="preserve">to ensure </w:t>
      </w:r>
      <w:r w:rsidR="000559B2">
        <w:t xml:space="preserve">data </w:t>
      </w:r>
      <w:r w:rsidR="00751E97">
        <w:t>sharing</w:t>
      </w:r>
      <w:r w:rsidR="002930BA">
        <w:t xml:space="preserve"> is in </w:t>
      </w:r>
      <w:r w:rsidR="006E0D17">
        <w:t xml:space="preserve">the </w:t>
      </w:r>
      <w:r w:rsidR="002930BA">
        <w:t>public interest</w:t>
      </w:r>
    </w:p>
    <w:p w:rsidR="00751E97" w:rsidRDefault="00751E97" w:rsidP="00F22E3A">
      <w:pPr>
        <w:pStyle w:val="ListParagraph"/>
        <w:numPr>
          <w:ilvl w:val="0"/>
          <w:numId w:val="13"/>
        </w:numPr>
        <w:spacing w:before="120" w:after="280" w:line="259" w:lineRule="auto"/>
      </w:pPr>
      <w:r w:rsidRPr="00EE0D95">
        <w:rPr>
          <w:b/>
        </w:rPr>
        <w:t>data sharing principles</w:t>
      </w:r>
      <w:r>
        <w:t xml:space="preserve"> to ensure </w:t>
      </w:r>
      <w:r w:rsidR="000559B2">
        <w:t xml:space="preserve">data </w:t>
      </w:r>
      <w:r>
        <w:t>sharing is done safely</w:t>
      </w:r>
    </w:p>
    <w:p w:rsidR="00751E97" w:rsidRDefault="00751E97" w:rsidP="00F22E3A">
      <w:pPr>
        <w:pStyle w:val="ListParagraph"/>
        <w:numPr>
          <w:ilvl w:val="0"/>
          <w:numId w:val="13"/>
        </w:numPr>
        <w:spacing w:before="120" w:after="280" w:line="259" w:lineRule="auto"/>
      </w:pPr>
      <w:r>
        <w:t xml:space="preserve">consistent </w:t>
      </w:r>
      <w:r w:rsidRPr="00EE0D95">
        <w:rPr>
          <w:b/>
        </w:rPr>
        <w:t>data sharing agreements</w:t>
      </w:r>
      <w:r w:rsidR="006039E2">
        <w:t xml:space="preserve"> to </w:t>
      </w:r>
      <w:r w:rsidR="009A0F84">
        <w:t>set legally binding requirements for</w:t>
      </w:r>
      <w:r w:rsidR="006039E2">
        <w:t xml:space="preserve"> data sharing</w:t>
      </w:r>
    </w:p>
    <w:p w:rsidR="003A7264" w:rsidRDefault="00FB2CCA" w:rsidP="00E021FB">
      <w:pPr>
        <w:pStyle w:val="ListParagraph"/>
        <w:numPr>
          <w:ilvl w:val="0"/>
          <w:numId w:val="13"/>
        </w:numPr>
        <w:spacing w:before="120" w:after="280" w:line="259" w:lineRule="auto"/>
      </w:pPr>
      <w:r>
        <w:t xml:space="preserve">strong </w:t>
      </w:r>
      <w:r w:rsidRPr="00EE0D95">
        <w:rPr>
          <w:b/>
        </w:rPr>
        <w:t>transparency mechanisms</w:t>
      </w:r>
      <w:r>
        <w:t xml:space="preserve"> and </w:t>
      </w:r>
      <w:r w:rsidR="00751E97">
        <w:t xml:space="preserve">effective </w:t>
      </w:r>
      <w:r w:rsidR="00751E97" w:rsidRPr="00FE4548">
        <w:rPr>
          <w:b/>
        </w:rPr>
        <w:t>oversight</w:t>
      </w:r>
      <w:r w:rsidR="00751E97">
        <w:t xml:space="preserve"> by the National Data Commissioner</w:t>
      </w:r>
      <w:r w:rsidR="003F0DF3">
        <w:t xml:space="preserve">, and </w:t>
      </w:r>
    </w:p>
    <w:p w:rsidR="00FE4548" w:rsidRDefault="00294CB1" w:rsidP="00E021FB">
      <w:pPr>
        <w:pStyle w:val="ListParagraph"/>
        <w:numPr>
          <w:ilvl w:val="0"/>
          <w:numId w:val="13"/>
        </w:numPr>
        <w:spacing w:before="120" w:after="280" w:line="259" w:lineRule="auto"/>
      </w:pPr>
      <w:r>
        <w:t>t</w:t>
      </w:r>
      <w:r w:rsidR="00FE4548">
        <w:t xml:space="preserve">he Bill, and its operation, will be </w:t>
      </w:r>
      <w:r w:rsidR="00644ED6">
        <w:t>re</w:t>
      </w:r>
      <w:r w:rsidR="00FE4548">
        <w:t xml:space="preserve">viewed periodically to ensure it remains fit for purpose. </w:t>
      </w:r>
    </w:p>
    <w:p w:rsidR="002421C4" w:rsidRDefault="002421C4" w:rsidP="002421C4">
      <w:pPr>
        <w:pStyle w:val="Heading3"/>
        <w:numPr>
          <w:ilvl w:val="2"/>
          <w:numId w:val="1"/>
        </w:numPr>
      </w:pPr>
      <w:bookmarkStart w:id="118" w:name="_Toc49965676"/>
      <w:bookmarkStart w:id="119" w:name="_Toc49968336"/>
      <w:bookmarkStart w:id="120" w:name="_Toc49970773"/>
      <w:bookmarkStart w:id="121" w:name="_Toc50909443"/>
      <w:bookmarkStart w:id="122" w:name="_Toc46911592"/>
      <w:bookmarkStart w:id="123" w:name="_Toc46920828"/>
      <w:bookmarkStart w:id="124" w:name="_Toc46921128"/>
      <w:bookmarkStart w:id="125" w:name="_Toc46924387"/>
      <w:bookmarkStart w:id="126" w:name="_Toc47444559"/>
      <w:r>
        <w:t xml:space="preserve">The </w:t>
      </w:r>
      <w:r w:rsidR="00AC6A95">
        <w:t>a</w:t>
      </w:r>
      <w:r>
        <w:t xml:space="preserve">ccreditation </w:t>
      </w:r>
      <w:r w:rsidR="00AC6A95">
        <w:t>f</w:t>
      </w:r>
      <w:r>
        <w:t>ramework controls entry into the data sharing scheme</w:t>
      </w:r>
      <w:bookmarkEnd w:id="118"/>
      <w:bookmarkEnd w:id="119"/>
      <w:bookmarkEnd w:id="120"/>
      <w:bookmarkEnd w:id="121"/>
    </w:p>
    <w:p w:rsidR="002421C4" w:rsidRPr="00E021FB" w:rsidRDefault="002421C4" w:rsidP="002421C4">
      <w:pPr>
        <w:rPr>
          <w:highlight w:val="green"/>
        </w:rPr>
      </w:pPr>
      <w:r w:rsidRPr="00B106F4">
        <w:t xml:space="preserve">The </w:t>
      </w:r>
      <w:r w:rsidR="00AC6A95">
        <w:t>a</w:t>
      </w:r>
      <w:r w:rsidRPr="00B106F4">
        <w:t xml:space="preserve">ccreditation </w:t>
      </w:r>
      <w:r w:rsidR="00AC6A95">
        <w:t>f</w:t>
      </w:r>
      <w:r w:rsidRPr="00B106F4">
        <w:t>ramework facilitates participation in the</w:t>
      </w:r>
      <w:r w:rsidRPr="00465926">
        <w:t xml:space="preserve"> data sharing scheme by users and </w:t>
      </w:r>
      <w:r>
        <w:t xml:space="preserve">data </w:t>
      </w:r>
      <w:r w:rsidRPr="00465926">
        <w:t xml:space="preserve">service providers from different sectors </w:t>
      </w:r>
      <w:r>
        <w:t>such as</w:t>
      </w:r>
      <w:r w:rsidRPr="00465926">
        <w:t xml:space="preserve"> government, business, academia, think tanks, </w:t>
      </w:r>
      <w:r>
        <w:t>and</w:t>
      </w:r>
      <w:r w:rsidRPr="00465926">
        <w:t xml:space="preserve"> not-for-profit</w:t>
      </w:r>
      <w:r>
        <w:t xml:space="preserve"> sectors.</w:t>
      </w:r>
      <w:r w:rsidRPr="00B3241D">
        <w:t xml:space="preserve"> </w:t>
      </w:r>
    </w:p>
    <w:p w:rsidR="002421C4" w:rsidRDefault="002421C4" w:rsidP="002421C4">
      <w:pPr>
        <w:keepNext/>
        <w:keepLines/>
        <w:spacing w:after="0"/>
      </w:pPr>
      <w:r>
        <w:t>Accreditation will control entry into the data sharing scheme, serving as a safeguard to provide:</w:t>
      </w:r>
    </w:p>
    <w:p w:rsidR="002421C4" w:rsidRPr="00C15A12" w:rsidRDefault="002421C4" w:rsidP="002421C4">
      <w:pPr>
        <w:pStyle w:val="ListParagraph"/>
        <w:numPr>
          <w:ilvl w:val="0"/>
          <w:numId w:val="7"/>
        </w:numPr>
        <w:spacing w:after="0" w:line="276" w:lineRule="auto"/>
        <w:ind w:left="714" w:hanging="357"/>
        <w:contextualSpacing w:val="0"/>
        <w:rPr>
          <w:rFonts w:cstheme="minorHAnsi"/>
        </w:rPr>
      </w:pPr>
      <w:r w:rsidRPr="00C15A12">
        <w:rPr>
          <w:rFonts w:cstheme="minorHAnsi"/>
        </w:rPr>
        <w:t>visibility and regulation of participants in the data sharing scheme</w:t>
      </w:r>
    </w:p>
    <w:p w:rsidR="002421C4" w:rsidRPr="00C15A12" w:rsidRDefault="002421C4" w:rsidP="002421C4">
      <w:pPr>
        <w:pStyle w:val="ListParagraph"/>
        <w:numPr>
          <w:ilvl w:val="0"/>
          <w:numId w:val="7"/>
        </w:numPr>
        <w:spacing w:after="0" w:line="276" w:lineRule="auto"/>
        <w:ind w:left="714" w:hanging="357"/>
        <w:contextualSpacing w:val="0"/>
        <w:rPr>
          <w:rFonts w:cstheme="minorHAnsi"/>
        </w:rPr>
      </w:pPr>
      <w:r w:rsidRPr="00C15A12">
        <w:rPr>
          <w:rFonts w:cstheme="minorHAnsi"/>
        </w:rPr>
        <w:t>transparency and accountability of accredited entities through public registers</w:t>
      </w:r>
    </w:p>
    <w:p w:rsidR="002421C4" w:rsidRPr="00C15A12" w:rsidRDefault="002421C4" w:rsidP="002421C4">
      <w:pPr>
        <w:pStyle w:val="ListParagraph"/>
        <w:numPr>
          <w:ilvl w:val="0"/>
          <w:numId w:val="7"/>
        </w:numPr>
        <w:spacing w:after="0" w:line="276" w:lineRule="auto"/>
        <w:ind w:left="714" w:hanging="357"/>
        <w:contextualSpacing w:val="0"/>
        <w:rPr>
          <w:rFonts w:cstheme="minorHAnsi"/>
        </w:rPr>
      </w:pPr>
      <w:r w:rsidRPr="00C15A12">
        <w:rPr>
          <w:rFonts w:cstheme="minorHAnsi"/>
        </w:rPr>
        <w:t xml:space="preserve">a consistent and reusable process for entities to enter the scheme and request </w:t>
      </w:r>
      <w:r>
        <w:rPr>
          <w:rFonts w:cstheme="minorHAnsi"/>
        </w:rPr>
        <w:t>public sector</w:t>
      </w:r>
      <w:r w:rsidRPr="00C15A12">
        <w:rPr>
          <w:rFonts w:cstheme="minorHAnsi"/>
        </w:rPr>
        <w:t xml:space="preserve"> data</w:t>
      </w:r>
      <w:r>
        <w:rPr>
          <w:rFonts w:cstheme="minorHAnsi"/>
        </w:rPr>
        <w:t>, and</w:t>
      </w:r>
    </w:p>
    <w:p w:rsidR="002421C4" w:rsidRPr="00C15A12" w:rsidRDefault="002421C4" w:rsidP="002421C4">
      <w:pPr>
        <w:pStyle w:val="ListParagraph"/>
        <w:numPr>
          <w:ilvl w:val="0"/>
          <w:numId w:val="7"/>
        </w:numPr>
        <w:spacing w:after="200" w:line="276" w:lineRule="auto"/>
        <w:contextualSpacing w:val="0"/>
        <w:rPr>
          <w:rFonts w:cstheme="minorHAnsi"/>
        </w:rPr>
      </w:pPr>
      <w:r w:rsidRPr="00C15A12">
        <w:rPr>
          <w:rFonts w:cstheme="minorHAnsi"/>
        </w:rPr>
        <w:lastRenderedPageBreak/>
        <w:t xml:space="preserve">information to support </w:t>
      </w:r>
      <w:r w:rsidRPr="005150C7">
        <w:rPr>
          <w:rFonts w:cstheme="minorHAnsi"/>
        </w:rPr>
        <w:t>data custodian</w:t>
      </w:r>
      <w:r>
        <w:rPr>
          <w:rFonts w:cstheme="minorHAnsi"/>
        </w:rPr>
        <w:t>s</w:t>
      </w:r>
      <w:r w:rsidRPr="005150C7">
        <w:rPr>
          <w:rFonts w:cstheme="minorHAnsi"/>
        </w:rPr>
        <w:t xml:space="preserve"> </w:t>
      </w:r>
      <w:r w:rsidRPr="00C15A12">
        <w:rPr>
          <w:rFonts w:cstheme="minorHAnsi"/>
        </w:rPr>
        <w:t>when making decisions about sharing data</w:t>
      </w:r>
      <w:r>
        <w:rPr>
          <w:rFonts w:cstheme="minorHAnsi"/>
        </w:rPr>
        <w:t>.</w:t>
      </w:r>
      <w:r w:rsidRPr="00C15A12">
        <w:rPr>
          <w:rFonts w:cstheme="minorHAnsi"/>
        </w:rPr>
        <w:t xml:space="preserve"> </w:t>
      </w:r>
    </w:p>
    <w:p w:rsidR="002421C4" w:rsidRDefault="002421C4" w:rsidP="002421C4">
      <w:pPr>
        <w:keepNext/>
        <w:keepLines/>
        <w:spacing w:after="120"/>
      </w:pPr>
      <w:r>
        <w:t xml:space="preserve">Accreditation will be established through multiple legal mechanisms. The </w:t>
      </w:r>
      <w:r w:rsidRPr="005150C7">
        <w:t>Bill</w:t>
      </w:r>
      <w:r>
        <w:t xml:space="preserve"> provides the National Data Commissioner with </w:t>
      </w:r>
      <w:r w:rsidR="005F63C8">
        <w:t xml:space="preserve">the </w:t>
      </w:r>
      <w:r>
        <w:t>power to accredit entities, regulate their activities</w:t>
      </w:r>
      <w:r w:rsidR="00917A37">
        <w:t>,</w:t>
      </w:r>
      <w:r>
        <w:t xml:space="preserve"> and place conditions on, suspend or cancel accreditation.</w:t>
      </w:r>
    </w:p>
    <w:p w:rsidR="002421C4" w:rsidRDefault="002421C4" w:rsidP="002421C4">
      <w:pPr>
        <w:keepNext/>
        <w:keepLines/>
      </w:pPr>
      <w:r>
        <w:t xml:space="preserve">The </w:t>
      </w:r>
      <w:r w:rsidR="00AC6A95">
        <w:t>a</w:t>
      </w:r>
      <w:r w:rsidRPr="00E173E1">
        <w:t xml:space="preserve">ccreditation </w:t>
      </w:r>
      <w:r w:rsidR="00AC6A95">
        <w:t>f</w:t>
      </w:r>
      <w:r w:rsidRPr="00E173E1">
        <w:t xml:space="preserve">ramework </w:t>
      </w:r>
      <w:r>
        <w:t xml:space="preserve">will be established through Rules by the Minister responsible. It will provide for </w:t>
      </w:r>
      <w:r w:rsidRPr="005E2B99">
        <w:t>types of accreditation</w:t>
      </w:r>
      <w:r>
        <w:t>, assessment criteria</w:t>
      </w:r>
      <w:r w:rsidR="00917A37">
        <w:t>,</w:t>
      </w:r>
      <w:r>
        <w:t xml:space="preserve"> and details about </w:t>
      </w:r>
      <w:r w:rsidR="00917A37">
        <w:t xml:space="preserve">the </w:t>
      </w:r>
      <w:r>
        <w:t>process, duration</w:t>
      </w:r>
      <w:r w:rsidR="00917A37">
        <w:t>,</w:t>
      </w:r>
      <w:r>
        <w:t xml:space="preserve"> and conditions of accreditation. </w:t>
      </w:r>
    </w:p>
    <w:p w:rsidR="002421C4" w:rsidRDefault="002421C4" w:rsidP="002421C4">
      <w:pPr>
        <w:keepNext/>
        <w:keepLines/>
      </w:pPr>
      <w:r w:rsidRPr="00421958">
        <w:t>The Bill</w:t>
      </w:r>
      <w:r>
        <w:t xml:space="preserve"> and Rules will also be accompanied by </w:t>
      </w:r>
      <w:r w:rsidR="00A26662">
        <w:t>G</w:t>
      </w:r>
      <w:r>
        <w:t>uidelines and guidance to support participants to apply for, manage</w:t>
      </w:r>
      <w:r w:rsidR="00917A37">
        <w:t>,</w:t>
      </w:r>
      <w:r>
        <w:t xml:space="preserve"> and maintain their accreditation. The National Data Commissioner may also issue codes in </w:t>
      </w:r>
      <w:r w:rsidR="002C5C04">
        <w:t xml:space="preserve">the </w:t>
      </w:r>
      <w:r>
        <w:t xml:space="preserve">future if necessary to clarify accreditation requirements in practice.  </w:t>
      </w:r>
    </w:p>
    <w:p w:rsidR="002421C4" w:rsidRDefault="002421C4" w:rsidP="002421C4">
      <w:r>
        <w:t>More detail</w:t>
      </w:r>
      <w:r w:rsidRPr="005E2B99">
        <w:t xml:space="preserve"> about the key elements of the </w:t>
      </w:r>
      <w:r w:rsidR="00AC6A95">
        <w:t>a</w:t>
      </w:r>
      <w:r w:rsidRPr="00E173E1">
        <w:t xml:space="preserve">ccreditation </w:t>
      </w:r>
      <w:r w:rsidR="00AC6A95">
        <w:t>f</w:t>
      </w:r>
      <w:r w:rsidRPr="00E173E1">
        <w:t>ramework</w:t>
      </w:r>
      <w:r w:rsidRPr="005E2B99">
        <w:t>, including types of accreditation, proposed criteria, application and assessment process</w:t>
      </w:r>
      <w:r w:rsidR="002C5C04">
        <w:t>,</w:t>
      </w:r>
      <w:r w:rsidRPr="005E2B99">
        <w:t xml:space="preserve"> and public registers, </w:t>
      </w:r>
      <w:r w:rsidRPr="001A6BC2">
        <w:t xml:space="preserve">can be found </w:t>
      </w:r>
      <w:r w:rsidR="00E24E47">
        <w:t>in</w:t>
      </w:r>
      <w:r>
        <w:t xml:space="preserve"> the </w:t>
      </w:r>
      <w:r w:rsidR="002C5C04">
        <w:t xml:space="preserve">discussion paper on the </w:t>
      </w:r>
      <w:r>
        <w:t xml:space="preserve">accreditation </w:t>
      </w:r>
      <w:r w:rsidR="002C5C04">
        <w:t>framework</w:t>
      </w:r>
      <w:r w:rsidRPr="005E2B99">
        <w:t>.</w:t>
      </w:r>
    </w:p>
    <w:p w:rsidR="00FA4501" w:rsidRDefault="008064E0" w:rsidP="003874D4">
      <w:pPr>
        <w:pStyle w:val="Heading3"/>
        <w:numPr>
          <w:ilvl w:val="2"/>
          <w:numId w:val="1"/>
        </w:numPr>
      </w:pPr>
      <w:bookmarkStart w:id="127" w:name="_Toc49965677"/>
      <w:bookmarkStart w:id="128" w:name="_Toc49968337"/>
      <w:bookmarkStart w:id="129" w:name="_Toc49970774"/>
      <w:bookmarkStart w:id="130" w:name="_Toc50909444"/>
      <w:r>
        <w:t xml:space="preserve">Sharing is </w:t>
      </w:r>
      <w:r w:rsidR="009A0F84">
        <w:t>only</w:t>
      </w:r>
      <w:r>
        <w:t xml:space="preserve"> authorised for </w:t>
      </w:r>
      <w:r w:rsidR="00C962D0">
        <w:t xml:space="preserve">data sharing </w:t>
      </w:r>
      <w:r>
        <w:t>purposes</w:t>
      </w:r>
      <w:r w:rsidR="00C946B5">
        <w:t xml:space="preserve"> and </w:t>
      </w:r>
      <w:r w:rsidR="00384B50">
        <w:t>must</w:t>
      </w:r>
      <w:r>
        <w:t xml:space="preserve"> </w:t>
      </w:r>
      <w:bookmarkEnd w:id="122"/>
      <w:bookmarkEnd w:id="123"/>
      <w:bookmarkEnd w:id="124"/>
      <w:bookmarkEnd w:id="125"/>
      <w:bookmarkEnd w:id="126"/>
      <w:r w:rsidR="002930BA">
        <w:t>be in the public interest</w:t>
      </w:r>
      <w:bookmarkEnd w:id="127"/>
      <w:bookmarkEnd w:id="128"/>
      <w:bookmarkEnd w:id="129"/>
      <w:bookmarkEnd w:id="130"/>
    </w:p>
    <w:p w:rsidR="00A50083" w:rsidRDefault="00A50083" w:rsidP="00565B42">
      <w:pPr>
        <w:spacing w:before="120" w:after="120"/>
      </w:pPr>
      <w:r>
        <w:t xml:space="preserve">The Bill authorises sharing for three </w:t>
      </w:r>
      <w:r w:rsidR="00C962D0">
        <w:t xml:space="preserve">data sharing </w:t>
      </w:r>
      <w:r>
        <w:t xml:space="preserve">purposes – </w:t>
      </w:r>
      <w:r w:rsidR="001032F7">
        <w:t>for</w:t>
      </w:r>
      <w:r>
        <w:t xml:space="preserve"> </w:t>
      </w:r>
      <w:r w:rsidDel="001032F7">
        <w:t>delivery</w:t>
      </w:r>
      <w:r>
        <w:t xml:space="preserve"> </w:t>
      </w:r>
      <w:r w:rsidDel="001032F7">
        <w:t xml:space="preserve">of </w:t>
      </w:r>
      <w:r>
        <w:t>government service</w:t>
      </w:r>
      <w:r w:rsidR="00973A56">
        <w:t>s</w:t>
      </w:r>
      <w:r w:rsidR="001032F7">
        <w:t>,</w:t>
      </w:r>
      <w:r w:rsidR="004A1963">
        <w:t xml:space="preserve"> </w:t>
      </w:r>
      <w:r w:rsidR="001032F7">
        <w:t>to inform</w:t>
      </w:r>
      <w:r>
        <w:t xml:space="preserve"> government policies and programs, and </w:t>
      </w:r>
      <w:r w:rsidR="001032F7">
        <w:t xml:space="preserve">for </w:t>
      </w:r>
      <w:r>
        <w:t>research and development</w:t>
      </w:r>
      <w:r w:rsidR="00FB2CCA">
        <w:t>:</w:t>
      </w:r>
    </w:p>
    <w:p w:rsidR="00565B42" w:rsidRDefault="00565B42" w:rsidP="00FB2CCA">
      <w:pPr>
        <w:pStyle w:val="ListParagraph"/>
        <w:numPr>
          <w:ilvl w:val="0"/>
          <w:numId w:val="4"/>
        </w:numPr>
        <w:spacing w:before="120" w:after="120"/>
      </w:pPr>
      <w:r w:rsidRPr="00967121">
        <w:rPr>
          <w:b/>
        </w:rPr>
        <w:t>Government services</w:t>
      </w:r>
      <w:r>
        <w:t xml:space="preserve"> are government activities that provide coordinated and structured advice, support, and services to individuals. Sharing data for this purpose could enable improved designs of systems, engagement, and processes involved in </w:t>
      </w:r>
      <w:r w:rsidR="00973A56">
        <w:t xml:space="preserve">the </w:t>
      </w:r>
      <w:r>
        <w:t xml:space="preserve">delivery of services, including improving user experiences through simplified or automated systems like pre-filled forms and reminders to submit or verify details. </w:t>
      </w:r>
    </w:p>
    <w:p w:rsidR="00565B42" w:rsidRDefault="00565B42" w:rsidP="00FB2CCA">
      <w:pPr>
        <w:pStyle w:val="ListParagraph"/>
        <w:numPr>
          <w:ilvl w:val="0"/>
          <w:numId w:val="4"/>
        </w:numPr>
        <w:spacing w:before="120" w:after="120"/>
      </w:pPr>
      <w:r>
        <w:t xml:space="preserve">Sharing data to inform </w:t>
      </w:r>
      <w:r w:rsidRPr="00967121">
        <w:rPr>
          <w:b/>
        </w:rPr>
        <w:t>government policy and programs</w:t>
      </w:r>
      <w:r w:rsidR="00FB2CCA">
        <w:t xml:space="preserve"> is</w:t>
      </w:r>
      <w:r>
        <w:t xml:space="preserve"> a broad purpose that could help enable the discovery of trends and risks to inform public policymaking, enable modelling of policy and program interventions, and provide a holistic understanding of cross-portfolio impacts and ‘wicked problems’</w:t>
      </w:r>
      <w:r w:rsidR="00973A56">
        <w:t>; that is, intersectional problems which are complex in nature and for which no single solution exists</w:t>
      </w:r>
      <w:r>
        <w:t xml:space="preserve">. </w:t>
      </w:r>
    </w:p>
    <w:p w:rsidR="001F4C08" w:rsidRDefault="00565B42" w:rsidP="00B67F13">
      <w:pPr>
        <w:pStyle w:val="ListParagraph"/>
        <w:numPr>
          <w:ilvl w:val="0"/>
          <w:numId w:val="4"/>
        </w:numPr>
        <w:spacing w:before="120" w:after="120"/>
      </w:pPr>
      <w:r>
        <w:t xml:space="preserve">Sharing data </w:t>
      </w:r>
      <w:r w:rsidR="00C249D1">
        <w:t>for</w:t>
      </w:r>
      <w:r>
        <w:t xml:space="preserve"> </w:t>
      </w:r>
      <w:r w:rsidRPr="00967121">
        <w:rPr>
          <w:b/>
        </w:rPr>
        <w:t>research and development</w:t>
      </w:r>
      <w:r>
        <w:t xml:space="preserve"> includes activities to advance knowledge and contribute to society. Sharing for research and development will enable academics, scientists, and innovators in the public and private sectors to access public sector data to gain insights </w:t>
      </w:r>
      <w:r w:rsidR="00A121AF">
        <w:t xml:space="preserve">that </w:t>
      </w:r>
      <w:r>
        <w:t>could enhance Australia’s socio-economic wellbeing.</w:t>
      </w:r>
    </w:p>
    <w:p w:rsidR="00B67F13" w:rsidRDefault="00B53E22" w:rsidP="009571A4">
      <w:pPr>
        <w:spacing w:before="120" w:after="120"/>
      </w:pPr>
      <w:r>
        <w:lastRenderedPageBreak/>
        <w:t>While the</w:t>
      </w:r>
      <w:r w:rsidR="00847C8F">
        <w:t xml:space="preserve"> permitted</w:t>
      </w:r>
      <w:r>
        <w:t xml:space="preserve"> data sharing purposes are intentionally broad, </w:t>
      </w:r>
      <w:r w:rsidR="00847C8F">
        <w:t>the precluded purposes are specific and use existing legal concepts to limit the permitted purposes</w:t>
      </w:r>
      <w:r w:rsidR="00C56F69">
        <w:t xml:space="preserve"> as required</w:t>
      </w:r>
      <w:r w:rsidR="00847C8F">
        <w:t xml:space="preserve">. </w:t>
      </w:r>
      <w:r w:rsidR="00A50083">
        <w:t xml:space="preserve">The Bill </w:t>
      </w:r>
      <w:r w:rsidR="00785F81">
        <w:t>precludes</w:t>
      </w:r>
      <w:r w:rsidR="007F29CF">
        <w:t xml:space="preserve"> the</w:t>
      </w:r>
      <w:r w:rsidR="00971074">
        <w:t xml:space="preserve"> shar</w:t>
      </w:r>
      <w:r w:rsidR="00785F81">
        <w:t>ing of</w:t>
      </w:r>
      <w:r w:rsidR="00971074">
        <w:t xml:space="preserve"> data</w:t>
      </w:r>
      <w:r w:rsidR="00565B42">
        <w:t xml:space="preserve"> </w:t>
      </w:r>
      <w:r w:rsidR="00EA2E1D">
        <w:t>for</w:t>
      </w:r>
      <w:r w:rsidR="00971074">
        <w:t xml:space="preserve"> </w:t>
      </w:r>
      <w:r w:rsidR="00565B42">
        <w:t>national security</w:t>
      </w:r>
      <w:r w:rsidR="007C382D">
        <w:t xml:space="preserve"> purposes</w:t>
      </w:r>
      <w:r w:rsidR="00971074">
        <w:t xml:space="preserve">, including </w:t>
      </w:r>
      <w:r w:rsidR="00324B16">
        <w:t xml:space="preserve">activities to </w:t>
      </w:r>
      <w:r w:rsidR="00565B42">
        <w:t>prevent domestic terrorism or espionage</w:t>
      </w:r>
      <w:r w:rsidR="007C382D">
        <w:t>,</w:t>
      </w:r>
      <w:r w:rsidR="006315EE">
        <w:t xml:space="preserve"> and </w:t>
      </w:r>
      <w:r w:rsidR="007C382D">
        <w:t xml:space="preserve">for purposes </w:t>
      </w:r>
      <w:r w:rsidR="006315EE">
        <w:t>that would prejudice national security</w:t>
      </w:r>
      <w:r w:rsidR="007C382D">
        <w:t>,</w:t>
      </w:r>
      <w:r w:rsidR="00B415A9">
        <w:t xml:space="preserve"> such as terrorism or espionage. The Bill also precludes </w:t>
      </w:r>
      <w:r w:rsidR="00D434BF">
        <w:t xml:space="preserve">data </w:t>
      </w:r>
      <w:r w:rsidR="00B415A9">
        <w:t xml:space="preserve">sharing for </w:t>
      </w:r>
      <w:r w:rsidR="00565B42">
        <w:t>enforcement</w:t>
      </w:r>
      <w:r w:rsidR="00C222D0">
        <w:t>-</w:t>
      </w:r>
      <w:r w:rsidR="00565B42">
        <w:t>related purposes</w:t>
      </w:r>
      <w:r w:rsidR="00D434BF">
        <w:t>,</w:t>
      </w:r>
      <w:r w:rsidR="00565B42">
        <w:t xml:space="preserve"> such as </w:t>
      </w:r>
      <w:r w:rsidR="00785F81">
        <w:t xml:space="preserve">law enforcement, policing, </w:t>
      </w:r>
      <w:r w:rsidR="00565B42">
        <w:t>compliance</w:t>
      </w:r>
      <w:r w:rsidR="00785F81">
        <w:t>,</w:t>
      </w:r>
      <w:r w:rsidR="00565B42">
        <w:t xml:space="preserve"> and assurance activities</w:t>
      </w:r>
      <w:r w:rsidR="009A0F84">
        <w:t xml:space="preserve"> (see </w:t>
      </w:r>
      <w:r w:rsidR="004001AE">
        <w:t xml:space="preserve">also </w:t>
      </w:r>
      <w:r w:rsidR="009A0F84">
        <w:t>Section 2.1</w:t>
      </w:r>
      <w:r w:rsidR="00785F81">
        <w:t xml:space="preserve"> on precluded purposes</w:t>
      </w:r>
      <w:r w:rsidR="009A0F84">
        <w:t>)</w:t>
      </w:r>
      <w:r w:rsidR="00565B42">
        <w:t xml:space="preserve">. </w:t>
      </w:r>
      <w:r w:rsidR="00643B31">
        <w:t xml:space="preserve">The Minister may prescribe additional precluded purposes in rules to address future risks. The Minister </w:t>
      </w:r>
      <w:r w:rsidR="00EC3B14">
        <w:t xml:space="preserve">could </w:t>
      </w:r>
      <w:r w:rsidR="00643B31">
        <w:t xml:space="preserve">only narrow the existing scope and is unable to authorise new purposes for sharing. </w:t>
      </w:r>
    </w:p>
    <w:p w:rsidR="009A0F84" w:rsidRPr="009A0F84" w:rsidRDefault="006836B7" w:rsidP="00B67F13">
      <w:pPr>
        <w:rPr>
          <w:rFonts w:ascii="Calibri" w:hAnsi="Calibri" w:cs="Calibri"/>
          <w:color w:val="000000"/>
        </w:rPr>
      </w:pPr>
      <w:r w:rsidRPr="009A0F84">
        <w:rPr>
          <w:rFonts w:ascii="Calibri" w:hAnsi="Calibri" w:cs="Calibri"/>
          <w:color w:val="000000"/>
        </w:rPr>
        <w:t xml:space="preserve">The </w:t>
      </w:r>
      <w:r w:rsidR="009A0F84" w:rsidRPr="009A0F84">
        <w:rPr>
          <w:rFonts w:ascii="Calibri" w:hAnsi="Calibri" w:cs="Calibri"/>
          <w:color w:val="000000"/>
        </w:rPr>
        <w:t xml:space="preserve">Bill </w:t>
      </w:r>
      <w:r w:rsidR="009D0901">
        <w:rPr>
          <w:rFonts w:ascii="Calibri" w:hAnsi="Calibri" w:cs="Calibri"/>
          <w:color w:val="000000"/>
        </w:rPr>
        <w:t>excludes</w:t>
      </w:r>
      <w:r w:rsidR="009A0F84" w:rsidRPr="009A0F84">
        <w:rPr>
          <w:rFonts w:ascii="Calibri" w:hAnsi="Calibri" w:cs="Calibri"/>
          <w:color w:val="000000"/>
        </w:rPr>
        <w:t xml:space="preserve"> sharing that would infringe intellectual property rights or international agreements, or where </w:t>
      </w:r>
      <w:r w:rsidRPr="009A0F84">
        <w:rPr>
          <w:rFonts w:ascii="Calibri" w:hAnsi="Calibri" w:cs="Calibri"/>
          <w:color w:val="000000"/>
        </w:rPr>
        <w:t xml:space="preserve">intelligence </w:t>
      </w:r>
      <w:r>
        <w:rPr>
          <w:rFonts w:ascii="Calibri" w:hAnsi="Calibri" w:cs="Calibri"/>
          <w:color w:val="000000"/>
        </w:rPr>
        <w:t>agencies</w:t>
      </w:r>
      <w:r w:rsidR="009A0F84">
        <w:rPr>
          <w:rStyle w:val="FootnoteReference"/>
          <w:rFonts w:ascii="Calibri" w:hAnsi="Calibri" w:cs="Calibri"/>
          <w:color w:val="000000"/>
        </w:rPr>
        <w:footnoteReference w:id="21"/>
      </w:r>
      <w:r w:rsidR="009A0F84" w:rsidRPr="009A0F84">
        <w:rPr>
          <w:rFonts w:ascii="Calibri" w:hAnsi="Calibri" w:cs="Calibri"/>
          <w:color w:val="000000"/>
        </w:rPr>
        <w:t xml:space="preserve"> or </w:t>
      </w:r>
      <w:r w:rsidRPr="009A0F84">
        <w:rPr>
          <w:rFonts w:ascii="Calibri" w:hAnsi="Calibri" w:cs="Calibri"/>
          <w:color w:val="000000"/>
        </w:rPr>
        <w:t>their data</w:t>
      </w:r>
      <w:r w:rsidR="009A0F84" w:rsidRPr="009A0F84">
        <w:rPr>
          <w:rFonts w:ascii="Calibri" w:hAnsi="Calibri" w:cs="Calibri"/>
          <w:color w:val="000000"/>
        </w:rPr>
        <w:t xml:space="preserve"> are involved. The Bill excludes</w:t>
      </w:r>
      <w:r w:rsidR="007F29CF">
        <w:rPr>
          <w:rFonts w:ascii="Calibri" w:hAnsi="Calibri" w:cs="Calibri"/>
          <w:color w:val="000000"/>
        </w:rPr>
        <w:t xml:space="preserve"> the</w:t>
      </w:r>
      <w:r w:rsidR="009A0F84" w:rsidRPr="009A0F84">
        <w:rPr>
          <w:rFonts w:ascii="Calibri" w:hAnsi="Calibri" w:cs="Calibri"/>
          <w:color w:val="000000"/>
        </w:rPr>
        <w:t xml:space="preserve"> sharing of operational data and evidence before courts, tribunals, and certain agencies with oversight or integrity functions to protect the independence and confidentiality of their core functions. </w:t>
      </w:r>
      <w:r w:rsidR="0067278A">
        <w:rPr>
          <w:rFonts w:ascii="Calibri" w:hAnsi="Calibri" w:cs="Calibri"/>
          <w:color w:val="000000"/>
        </w:rPr>
        <w:t xml:space="preserve">Some </w:t>
      </w:r>
      <w:r w:rsidR="009D0901">
        <w:rPr>
          <w:rFonts w:ascii="Calibri" w:hAnsi="Calibri" w:cs="Calibri"/>
          <w:color w:val="000000"/>
        </w:rPr>
        <w:t xml:space="preserve">legislative provisions have also been excluded from the </w:t>
      </w:r>
      <w:r w:rsidR="0067278A">
        <w:rPr>
          <w:rFonts w:ascii="Calibri" w:hAnsi="Calibri" w:cs="Calibri"/>
          <w:color w:val="000000"/>
        </w:rPr>
        <w:t xml:space="preserve">Bill’s override </w:t>
      </w:r>
      <w:r w:rsidR="0067278A" w:rsidRPr="009A0F84">
        <w:rPr>
          <w:rFonts w:ascii="Calibri" w:hAnsi="Calibri" w:cs="Calibri"/>
          <w:color w:val="000000"/>
        </w:rPr>
        <w:t xml:space="preserve">to </w:t>
      </w:r>
      <w:r w:rsidR="0067278A">
        <w:rPr>
          <w:rFonts w:ascii="Calibri" w:hAnsi="Calibri" w:cs="Calibri"/>
          <w:color w:val="000000"/>
        </w:rPr>
        <w:t>preserve protections around, for example, national security</w:t>
      </w:r>
      <w:r w:rsidR="002371BF">
        <w:rPr>
          <w:rFonts w:ascii="Calibri" w:hAnsi="Calibri" w:cs="Calibri"/>
          <w:color w:val="000000"/>
        </w:rPr>
        <w:t xml:space="preserve">, </w:t>
      </w:r>
      <w:r w:rsidR="0067278A">
        <w:rPr>
          <w:rFonts w:ascii="Calibri" w:hAnsi="Calibri" w:cs="Calibri"/>
          <w:color w:val="000000"/>
        </w:rPr>
        <w:t>My Health Record</w:t>
      </w:r>
      <w:r w:rsidR="002371BF">
        <w:rPr>
          <w:rFonts w:ascii="Calibri" w:hAnsi="Calibri" w:cs="Calibri"/>
          <w:color w:val="000000"/>
        </w:rPr>
        <w:t xml:space="preserve"> and COVID Safe App data</w:t>
      </w:r>
      <w:r w:rsidR="00110C3E">
        <w:rPr>
          <w:rFonts w:ascii="Calibri" w:hAnsi="Calibri" w:cs="Calibri"/>
          <w:color w:val="000000"/>
        </w:rPr>
        <w:t xml:space="preserve"> (see also </w:t>
      </w:r>
      <w:r w:rsidR="00110C3E">
        <w:t>the</w:t>
      </w:r>
      <w:r w:rsidR="00D224BC">
        <w:t xml:space="preserve"> exposure</w:t>
      </w:r>
      <w:r w:rsidR="00110C3E">
        <w:t xml:space="preserve"> draft Data Availability and Transparency Regulations</w:t>
      </w:r>
      <w:r w:rsidR="00110C3E" w:rsidRPr="00F150BF">
        <w:t>).</w:t>
      </w:r>
    </w:p>
    <w:p w:rsidR="00E00F13" w:rsidRPr="004D0332" w:rsidRDefault="003D1A1A" w:rsidP="003874D4">
      <w:pPr>
        <w:pStyle w:val="Heading3"/>
        <w:numPr>
          <w:ilvl w:val="2"/>
          <w:numId w:val="1"/>
        </w:numPr>
      </w:pPr>
      <w:bookmarkStart w:id="131" w:name="_Toc46911593"/>
      <w:bookmarkStart w:id="132" w:name="_Toc46920829"/>
      <w:bookmarkStart w:id="133" w:name="_Toc46921129"/>
      <w:bookmarkStart w:id="134" w:name="_Toc46924388"/>
      <w:bookmarkStart w:id="135" w:name="_Toc47444560"/>
      <w:bookmarkStart w:id="136" w:name="_Toc49965678"/>
      <w:bookmarkStart w:id="137" w:name="_Toc49968338"/>
      <w:bookmarkStart w:id="138" w:name="_Toc49970775"/>
      <w:bookmarkStart w:id="139" w:name="_Toc50909445"/>
      <w:r>
        <w:t>T</w:t>
      </w:r>
      <w:r w:rsidR="0054622A">
        <w:t xml:space="preserve">he </w:t>
      </w:r>
      <w:r w:rsidR="00E173E1" w:rsidRPr="00E173E1">
        <w:t>data sharing principle</w:t>
      </w:r>
      <w:r w:rsidR="0054622A">
        <w:t>s</w:t>
      </w:r>
      <w:bookmarkEnd w:id="131"/>
      <w:bookmarkEnd w:id="132"/>
      <w:bookmarkEnd w:id="133"/>
      <w:bookmarkEnd w:id="134"/>
      <w:bookmarkEnd w:id="135"/>
      <w:r w:rsidR="00E021FB">
        <w:t xml:space="preserve"> </w:t>
      </w:r>
      <w:r w:rsidR="0017098A">
        <w:t xml:space="preserve">are a </w:t>
      </w:r>
      <w:r w:rsidR="00F954A2">
        <w:t xml:space="preserve">risk management framework </w:t>
      </w:r>
      <w:r w:rsidR="00E021FB">
        <w:t>for safe data sharing</w:t>
      </w:r>
      <w:bookmarkEnd w:id="136"/>
      <w:bookmarkEnd w:id="137"/>
      <w:bookmarkEnd w:id="138"/>
      <w:bookmarkEnd w:id="139"/>
    </w:p>
    <w:p w:rsidR="00C153D5" w:rsidRDefault="00865864" w:rsidP="00532586">
      <w:r>
        <w:t>The</w:t>
      </w:r>
      <w:r w:rsidR="00C153D5">
        <w:t xml:space="preserve"> </w:t>
      </w:r>
      <w:r w:rsidR="00E173E1" w:rsidRPr="00E173E1">
        <w:t>data sharing principle</w:t>
      </w:r>
      <w:r w:rsidR="00C153D5">
        <w:t>s</w:t>
      </w:r>
      <w:r w:rsidR="00AB5363">
        <w:t xml:space="preserve"> are </w:t>
      </w:r>
      <w:r w:rsidR="00C90D26">
        <w:t>a</w:t>
      </w:r>
      <w:r w:rsidR="00384B50">
        <w:t xml:space="preserve"> risk management framework</w:t>
      </w:r>
      <w:r w:rsidR="00AB5363">
        <w:t xml:space="preserve"> </w:t>
      </w:r>
      <w:r w:rsidR="00384B50">
        <w:t>to assess risks of sharing data and identify ways to manage those risks</w:t>
      </w:r>
      <w:r w:rsidR="00AB5363">
        <w:t xml:space="preserve">. The </w:t>
      </w:r>
      <w:r w:rsidR="00E173E1" w:rsidRPr="00E173E1">
        <w:t>data sharing principle</w:t>
      </w:r>
      <w:r w:rsidR="00AB5363">
        <w:t xml:space="preserve">s </w:t>
      </w:r>
      <w:r w:rsidR="00C153D5">
        <w:t xml:space="preserve">must be applied </w:t>
      </w:r>
      <w:r w:rsidR="001F2696">
        <w:t xml:space="preserve">to </w:t>
      </w:r>
      <w:r w:rsidR="00E173E1">
        <w:t>each data sharing project. The p</w:t>
      </w:r>
      <w:r w:rsidR="00C153D5">
        <w:t xml:space="preserve">rinciples are: </w:t>
      </w:r>
    </w:p>
    <w:p w:rsidR="00C153D5" w:rsidRDefault="00C153D5" w:rsidP="00781E71">
      <w:pPr>
        <w:pStyle w:val="ListParagraph"/>
        <w:numPr>
          <w:ilvl w:val="0"/>
          <w:numId w:val="3"/>
        </w:numPr>
      </w:pPr>
      <w:r w:rsidRPr="00EE0D95">
        <w:rPr>
          <w:b/>
        </w:rPr>
        <w:t>Project Principle</w:t>
      </w:r>
      <w:r>
        <w:t xml:space="preserve">: </w:t>
      </w:r>
      <w:r w:rsidRPr="00D011D0">
        <w:t>data is shared for an appropriate project or program of work</w:t>
      </w:r>
      <w:r>
        <w:t>, including consideration of the public interest,</w:t>
      </w:r>
      <w:r w:rsidR="00FA39C2">
        <w:t xml:space="preserve"> and</w:t>
      </w:r>
      <w:r>
        <w:t xml:space="preserve"> ethics, </w:t>
      </w:r>
      <w:r w:rsidR="00FA39C2">
        <w:t xml:space="preserve">while </w:t>
      </w:r>
      <w:r w:rsidR="00BD1F41">
        <w:t>maintaining strong</w:t>
      </w:r>
      <w:r w:rsidR="00FA39C2">
        <w:t xml:space="preserve"> </w:t>
      </w:r>
      <w:r>
        <w:t xml:space="preserve">privacy </w:t>
      </w:r>
      <w:r w:rsidR="00FA39C2">
        <w:t>safeguards</w:t>
      </w:r>
      <w:r w:rsidR="00FF3FB1">
        <w:t>.</w:t>
      </w:r>
      <w:r w:rsidR="00FA39C2">
        <w:t xml:space="preserve"> </w:t>
      </w:r>
    </w:p>
    <w:p w:rsidR="00C153D5" w:rsidRPr="00D011D0" w:rsidRDefault="00C153D5" w:rsidP="00781E71">
      <w:pPr>
        <w:pStyle w:val="ListParagraph"/>
        <w:numPr>
          <w:ilvl w:val="0"/>
          <w:numId w:val="3"/>
        </w:numPr>
      </w:pPr>
      <w:r w:rsidRPr="00EE0D95">
        <w:rPr>
          <w:b/>
        </w:rPr>
        <w:t>People Principle</w:t>
      </w:r>
      <w:r>
        <w:t xml:space="preserve">: </w:t>
      </w:r>
      <w:r w:rsidRPr="00D011D0">
        <w:t xml:space="preserve">data is </w:t>
      </w:r>
      <w:r>
        <w:t xml:space="preserve">made available </w:t>
      </w:r>
      <w:r w:rsidRPr="00D011D0">
        <w:t>only</w:t>
      </w:r>
      <w:r>
        <w:t xml:space="preserve"> to appropriate persons, who have the right training and skills</w:t>
      </w:r>
      <w:r w:rsidR="00FA39C2">
        <w:t>.</w:t>
      </w:r>
    </w:p>
    <w:p w:rsidR="00C153D5" w:rsidRDefault="00C153D5" w:rsidP="00781E71">
      <w:pPr>
        <w:pStyle w:val="ListParagraph"/>
        <w:numPr>
          <w:ilvl w:val="0"/>
          <w:numId w:val="3"/>
        </w:numPr>
      </w:pPr>
      <w:r w:rsidRPr="00EE0D95">
        <w:rPr>
          <w:b/>
        </w:rPr>
        <w:t>Setting Principle</w:t>
      </w:r>
      <w:r>
        <w:t>: data is shared in an appropriately controlled environment, which is safe and secure</w:t>
      </w:r>
      <w:r w:rsidR="00FF3FB1">
        <w:t>.</w:t>
      </w:r>
    </w:p>
    <w:p w:rsidR="00C153D5" w:rsidRDefault="00C153D5" w:rsidP="00781E71">
      <w:pPr>
        <w:pStyle w:val="ListParagraph"/>
        <w:numPr>
          <w:ilvl w:val="0"/>
          <w:numId w:val="3"/>
        </w:numPr>
      </w:pPr>
      <w:r w:rsidRPr="00EE0D95">
        <w:rPr>
          <w:b/>
        </w:rPr>
        <w:t>Data Principle</w:t>
      </w:r>
      <w:r>
        <w:t>: appropriate protec</w:t>
      </w:r>
      <w:r w:rsidR="00D40BB1">
        <w:t>tions are applied to the data,</w:t>
      </w:r>
      <w:r w:rsidR="00FA39C2">
        <w:t xml:space="preserve"> including </w:t>
      </w:r>
      <w:r w:rsidR="00C65CF9">
        <w:t>applying the data minimisation principle so</w:t>
      </w:r>
      <w:r w:rsidR="00FA39C2">
        <w:t xml:space="preserve"> only</w:t>
      </w:r>
      <w:r w:rsidR="007F29CF">
        <w:t xml:space="preserve"> the</w:t>
      </w:r>
      <w:r w:rsidR="00FA39C2">
        <w:t xml:space="preserve"> </w:t>
      </w:r>
      <w:r w:rsidR="00C65CF9">
        <w:t xml:space="preserve">required </w:t>
      </w:r>
      <w:r w:rsidR="00FA39C2">
        <w:t>data is shared</w:t>
      </w:r>
      <w:r w:rsidR="00FF3FB1">
        <w:t>.</w:t>
      </w:r>
      <w:r w:rsidR="00D40BB1">
        <w:t xml:space="preserve"> </w:t>
      </w:r>
    </w:p>
    <w:p w:rsidR="00C153D5" w:rsidRDefault="00C153D5" w:rsidP="00781E71">
      <w:pPr>
        <w:pStyle w:val="ListParagraph"/>
        <w:numPr>
          <w:ilvl w:val="0"/>
          <w:numId w:val="3"/>
        </w:numPr>
      </w:pPr>
      <w:r w:rsidRPr="00EE0D95">
        <w:rPr>
          <w:b/>
        </w:rPr>
        <w:t>Outputs Principle</w:t>
      </w:r>
      <w:r>
        <w:t xml:space="preserve">: outputs are as agreed, and appropriate for future use. </w:t>
      </w:r>
    </w:p>
    <w:p w:rsidR="00E021FB" w:rsidRDefault="00356189" w:rsidP="00E021FB">
      <w:r>
        <w:t xml:space="preserve">The Bill requires </w:t>
      </w:r>
      <w:r w:rsidR="000429A4">
        <w:t xml:space="preserve">the </w:t>
      </w:r>
      <w:r w:rsidR="005150C7" w:rsidRPr="005150C7">
        <w:t xml:space="preserve">data custodian </w:t>
      </w:r>
      <w:r w:rsidR="005E6DD7">
        <w:t>and users</w:t>
      </w:r>
      <w:r w:rsidR="000429A4">
        <w:t xml:space="preserve"> to be satisfied that, when the principles are considered as a whole, the risks associated with sharing data are appropriately managed</w:t>
      </w:r>
      <w:r>
        <w:t>.</w:t>
      </w:r>
      <w:r w:rsidRPr="000A6A51">
        <w:t xml:space="preserve"> </w:t>
      </w:r>
      <w:r w:rsidR="008C75AA">
        <w:t>T</w:t>
      </w:r>
      <w:r w:rsidR="008C75AA" w:rsidRPr="00044D0A">
        <w:t xml:space="preserve">he controls under each of the principles can be ‘dialled up’ or ‘dialled down’ as </w:t>
      </w:r>
      <w:r w:rsidR="00D40BB1">
        <w:t>necessary</w:t>
      </w:r>
      <w:r w:rsidR="008C75AA" w:rsidRPr="00044D0A">
        <w:t xml:space="preserve"> to manage risks and provide safe data sharing. </w:t>
      </w:r>
    </w:p>
    <w:tbl>
      <w:tblPr>
        <w:tblStyle w:val="TableGrid"/>
        <w:tblpPr w:leftFromText="180" w:rightFromText="180" w:vertAnchor="text" w:horzAnchor="margin" w:tblpY="36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BF6F6"/>
        <w:tblCellMar>
          <w:left w:w="142" w:type="dxa"/>
          <w:right w:w="142" w:type="dxa"/>
        </w:tblCellMar>
        <w:tblLook w:val="04A0" w:firstRow="1" w:lastRow="0" w:firstColumn="1" w:lastColumn="0" w:noHBand="0" w:noVBand="1"/>
      </w:tblPr>
      <w:tblGrid>
        <w:gridCol w:w="9016"/>
      </w:tblGrid>
      <w:tr w:rsidR="00646A4D" w:rsidTr="00646A4D">
        <w:trPr>
          <w:trHeight w:val="558"/>
        </w:trPr>
        <w:tc>
          <w:tcPr>
            <w:tcW w:w="9016" w:type="dxa"/>
            <w:shd w:val="clear" w:color="auto" w:fill="EBF6F6"/>
          </w:tcPr>
          <w:p w:rsidR="00646A4D" w:rsidRDefault="00646A4D" w:rsidP="00646A4D">
            <w:pPr>
              <w:pStyle w:val="Heading3"/>
              <w:spacing w:before="120"/>
              <w:outlineLvl w:val="2"/>
            </w:pPr>
            <w:bookmarkStart w:id="140" w:name="_Toc49965679"/>
            <w:bookmarkStart w:id="141" w:name="_Toc49968339"/>
            <w:bookmarkStart w:id="142" w:name="_Toc49970776"/>
            <w:bookmarkStart w:id="143" w:name="_Toc50909446"/>
            <w:r>
              <w:lastRenderedPageBreak/>
              <w:t xml:space="preserve">The </w:t>
            </w:r>
            <w:r w:rsidRPr="00E173E1">
              <w:t>data sharing principle</w:t>
            </w:r>
            <w:r>
              <w:t>s in practice</w:t>
            </w:r>
            <w:r w:rsidR="00D33BF8">
              <w:t xml:space="preserve"> at the Australian Bureau of Statistics</w:t>
            </w:r>
            <w:bookmarkEnd w:id="140"/>
            <w:bookmarkEnd w:id="141"/>
            <w:bookmarkEnd w:id="142"/>
            <w:bookmarkEnd w:id="143"/>
            <w:r>
              <w:t xml:space="preserve"> </w:t>
            </w:r>
          </w:p>
          <w:p w:rsidR="0034188F" w:rsidRPr="00EE0622" w:rsidRDefault="0034188F" w:rsidP="00646A4D">
            <w:pPr>
              <w:rPr>
                <w:b/>
              </w:rPr>
            </w:pPr>
            <w:r w:rsidRPr="00EE0622">
              <w:rPr>
                <w:b/>
              </w:rPr>
              <w:t xml:space="preserve">The data sharing principles are based on the Five Safes Framework already guiding </w:t>
            </w:r>
            <w:r w:rsidR="00557D0A">
              <w:rPr>
                <w:b/>
              </w:rPr>
              <w:t>several</w:t>
            </w:r>
            <w:r w:rsidRPr="00EE0622">
              <w:rPr>
                <w:b/>
              </w:rPr>
              <w:t xml:space="preserve"> agencies to safely share data. </w:t>
            </w:r>
            <w:r w:rsidRPr="00EE0622">
              <w:rPr>
                <w:rFonts w:ascii="Arial" w:hAnsi="Arial" w:cs="Arial"/>
                <w:b/>
                <w:sz w:val="20"/>
                <w:szCs w:val="20"/>
              </w:rPr>
              <w:t xml:space="preserve">Below </w:t>
            </w:r>
            <w:r w:rsidRPr="00EE0622">
              <w:rPr>
                <w:b/>
              </w:rPr>
              <w:t xml:space="preserve">illustrates how data sharing principles </w:t>
            </w:r>
            <w:r>
              <w:rPr>
                <w:b/>
              </w:rPr>
              <w:t xml:space="preserve">(in the form of Five Safes Framework) </w:t>
            </w:r>
            <w:r w:rsidRPr="00EE0622">
              <w:rPr>
                <w:b/>
              </w:rPr>
              <w:t xml:space="preserve">are currently being applied in practice at the Australian Bureau of Statistics (ABS). These practices </w:t>
            </w:r>
            <w:r w:rsidR="00EC3B14">
              <w:rPr>
                <w:b/>
              </w:rPr>
              <w:t>can</w:t>
            </w:r>
            <w:r w:rsidR="00EC3B14" w:rsidRPr="00EE0622">
              <w:rPr>
                <w:b/>
              </w:rPr>
              <w:t xml:space="preserve"> </w:t>
            </w:r>
            <w:r w:rsidRPr="00EE0622">
              <w:rPr>
                <w:b/>
              </w:rPr>
              <w:t>guide data custodians</w:t>
            </w:r>
            <w:r w:rsidR="00C222D0">
              <w:rPr>
                <w:b/>
              </w:rPr>
              <w:t xml:space="preserve"> in</w:t>
            </w:r>
            <w:r w:rsidRPr="00EE0622">
              <w:rPr>
                <w:b/>
              </w:rPr>
              <w:t xml:space="preserve"> providing access to data under the proposed legislation.</w:t>
            </w:r>
          </w:p>
          <w:p w:rsidR="00BA3842" w:rsidRDefault="00646A4D" w:rsidP="00646A4D">
            <w:r w:rsidRPr="00967121">
              <w:t>The Multi-Agency Data Integration Project (MADIP) is a secure data asset combining information on healthcare, education, government payments, personal income tax, and population demographics to create a comprehensive picture of Australia over time.</w:t>
            </w:r>
            <w:r w:rsidR="006D7E96">
              <w:t xml:space="preserve"> Authorised government and non-government researchers can access MADIP data for approved research projects</w:t>
            </w:r>
            <w:r w:rsidR="00BA3842">
              <w:t>. Recent projects have produced insights in</w:t>
            </w:r>
            <w:r w:rsidR="00C8421F">
              <w:t>to</w:t>
            </w:r>
            <w:r w:rsidR="00BA3842">
              <w:t xml:space="preserve"> a wide range of government policy areas – for example</w:t>
            </w:r>
            <w:r w:rsidR="00C8421F">
              <w:t>,</w:t>
            </w:r>
            <w:r w:rsidR="00BA3842">
              <w:t xml:space="preserve"> income growth, suicide prevention, welfare dependence</w:t>
            </w:r>
            <w:r w:rsidR="00C8421F">
              <w:t>,</w:t>
            </w:r>
            <w:r w:rsidR="00BA3842">
              <w:t xml:space="preserve"> and educational attainment.</w:t>
            </w:r>
            <w:r w:rsidRPr="00967121">
              <w:t xml:space="preserve"> </w:t>
            </w:r>
          </w:p>
          <w:p w:rsidR="00646A4D" w:rsidRPr="00EE0622" w:rsidRDefault="00646A4D" w:rsidP="00646A4D">
            <w:r w:rsidRPr="00967121">
              <w:t xml:space="preserve">The ABS is responsible for combining MADIP data, providing access to authorised users via highly secure ABS systems, and safeguarding privacy in collaboration with its partners. The ABS provides access to MADIP data through the Five Safes Framework (equating to the </w:t>
            </w:r>
            <w:r w:rsidRPr="00E173E1">
              <w:t>data sharing principle</w:t>
            </w:r>
            <w:r w:rsidRPr="00967121">
              <w:t xml:space="preserve">s) to effectively manage risk and maximise </w:t>
            </w:r>
            <w:r w:rsidR="00C8421F">
              <w:t xml:space="preserve">the </w:t>
            </w:r>
            <w:r w:rsidRPr="00967121">
              <w:t>use of shared data</w:t>
            </w:r>
            <w:r>
              <w:rPr>
                <w:rFonts w:ascii="Arial" w:hAnsi="Arial" w:cs="Arial"/>
                <w:sz w:val="20"/>
                <w:szCs w:val="20"/>
              </w:rPr>
              <w:t>.</w:t>
            </w:r>
            <w:r w:rsidR="00DB06B7">
              <w:rPr>
                <w:rFonts w:ascii="Arial" w:hAnsi="Arial" w:cs="Arial"/>
                <w:sz w:val="20"/>
                <w:szCs w:val="20"/>
              </w:rPr>
              <w:t xml:space="preserve"> </w:t>
            </w:r>
          </w:p>
          <w:p w:rsidR="00646A4D" w:rsidRDefault="00646A4D" w:rsidP="00646A4D">
            <w:r w:rsidRPr="00967121">
              <w:rPr>
                <w:b/>
                <w:color w:val="EE4A27"/>
              </w:rPr>
              <w:t>Safe Projects (Project Principle)</w:t>
            </w:r>
            <w:r>
              <w:rPr>
                <w:b/>
                <w:color w:val="EE4A27"/>
              </w:rPr>
              <w:t xml:space="preserve">: </w:t>
            </w:r>
            <w:r>
              <w:t xml:space="preserve">The ABS assesses each project proposal to ensure it will deliver public value, is not for compliance or other regulatory purposes and that the data is suitable to meet the analytic requirements. The project is approved by each of the relevant data custodians (including the provision of Public Interest Certificates) and an ABS manager. </w:t>
            </w:r>
          </w:p>
          <w:p w:rsidR="00646A4D" w:rsidRDefault="00646A4D" w:rsidP="00646A4D">
            <w:r w:rsidRPr="00967121">
              <w:rPr>
                <w:b/>
                <w:color w:val="EE4A27"/>
              </w:rPr>
              <w:t>Safe People (People Principle)</w:t>
            </w:r>
            <w:r>
              <w:rPr>
                <w:b/>
                <w:color w:val="EE4A27"/>
              </w:rPr>
              <w:t xml:space="preserve">: </w:t>
            </w:r>
            <w:r w:rsidR="005E569E" w:rsidRPr="005E569E">
              <w:t>Each individual named on projects must undertake mandatory ABS DataLab safe researcher on-boarding before they are provided access. This includes a half-day face-to-face interactive training, focused on the shared responsibility for maintaining data confidentiality, as well as security protocols and expectations when using ABS microdata data. The user must pass a quiz on their understanding of the training. All users sign documents agreeing to use the data responsibly and uphold confidentiality, including conditions of use from data custodians. Sanctions, including legal penalties, a suspension</w:t>
            </w:r>
            <w:r w:rsidR="00C8421F">
              <w:t>,</w:t>
            </w:r>
            <w:r w:rsidR="005E569E" w:rsidRPr="005E569E">
              <w:t xml:space="preserve"> or access ban may be applied if users do not abide by their responsibilities. Each individual must belong to an organisation that has a Responsible Officer Undertaking in place with the ABS.</w:t>
            </w:r>
          </w:p>
          <w:p w:rsidR="00646A4D" w:rsidRDefault="00646A4D" w:rsidP="00646A4D">
            <w:r w:rsidRPr="00967121">
              <w:rPr>
                <w:b/>
                <w:color w:val="EE4A27"/>
              </w:rPr>
              <w:t>Safe Settings (Setting Principle)</w:t>
            </w:r>
            <w:r>
              <w:rPr>
                <w:b/>
                <w:color w:val="EE4A27"/>
              </w:rPr>
              <w:t xml:space="preserve">: </w:t>
            </w:r>
            <w:r w:rsidR="005E569E" w:rsidRPr="005E569E">
              <w:t>Access to the MADIP data is provided through the ABS DataLab. This is a closed system within the ABS IT environment with controls including secure login using two-factor authentication, logging</w:t>
            </w:r>
            <w:r w:rsidR="00C8421F">
              <w:t>,</w:t>
            </w:r>
            <w:r w:rsidR="005E569E" w:rsidRPr="005E569E">
              <w:t xml:space="preserve"> and auditing of activity, role</w:t>
            </w:r>
            <w:r w:rsidR="00C8421F">
              <w:t>-</w:t>
            </w:r>
            <w:r w:rsidR="005E569E" w:rsidRPr="005E569E">
              <w:t xml:space="preserve">based data access (data is accessed on a ‘need to know’ basis in accordance with the requirements for approved projects) and the researchers </w:t>
            </w:r>
            <w:r w:rsidR="00557D0A">
              <w:t xml:space="preserve">cannot </w:t>
            </w:r>
            <w:r w:rsidR="005E569E" w:rsidRPr="005E569E">
              <w:t>import or export data. Users are also made aware of their responsibilities around physical access environments and data security through the DataLab training. Access is only supported within Australia.</w:t>
            </w:r>
          </w:p>
          <w:p w:rsidR="00646A4D" w:rsidRDefault="00646A4D" w:rsidP="00646A4D">
            <w:r w:rsidRPr="00967121">
              <w:rPr>
                <w:b/>
                <w:color w:val="EE4A27"/>
              </w:rPr>
              <w:t>Safe Data (Data Principle)</w:t>
            </w:r>
            <w:r>
              <w:rPr>
                <w:b/>
                <w:color w:val="EE4A27"/>
              </w:rPr>
              <w:t xml:space="preserve">: </w:t>
            </w:r>
            <w:r w:rsidR="005E569E" w:rsidRPr="005E569E">
              <w:t>No direct identifiers are provided to users and only those MADIP variables that are approved and necessary for the project are provided. The data is prepared to ensure information is not likely to enable the identification of the individual or organisation. As part of DataLab training, users understand their obligations for responsible use of data, including not attempting to re-identify individuals or organisations.</w:t>
            </w:r>
          </w:p>
          <w:p w:rsidR="00646A4D" w:rsidRPr="00967121" w:rsidRDefault="00646A4D" w:rsidP="001E0DEE">
            <w:r w:rsidRPr="00967121">
              <w:rPr>
                <w:b/>
                <w:color w:val="EE4A27"/>
              </w:rPr>
              <w:t>Safe Outputs (Outputs Principle)</w:t>
            </w:r>
            <w:r>
              <w:rPr>
                <w:b/>
                <w:color w:val="EE4A27"/>
              </w:rPr>
              <w:t xml:space="preserve">: </w:t>
            </w:r>
            <w:r w:rsidR="005E569E" w:rsidRPr="005E569E">
              <w:t xml:space="preserve">All outputs are vetted and approved by an ABS officer </w:t>
            </w:r>
            <w:r w:rsidR="00557D0A">
              <w:t>before</w:t>
            </w:r>
            <w:r w:rsidR="005E569E" w:rsidRPr="005E569E">
              <w:t xml:space="preserve"> removal from the DataLab to ensure no data is released in a manner that is likely to identify an individual or organisation. The outputs must also be consistent with the stated aims and expected outcomes in the project proposal. The outputs must also meet any data custodian requirements, including broad confidentiality and any project-specific conditions. Users are trained in their obligations with regards to outputs as well as good practice in preparing outputs that are non-disclosive. No unit records are released from the DataLab</w:t>
            </w:r>
            <w:r w:rsidR="005F1865">
              <w:t>.</w:t>
            </w:r>
          </w:p>
        </w:tc>
      </w:tr>
    </w:tbl>
    <w:p w:rsidR="00E021FB" w:rsidRPr="00FB2CCA" w:rsidRDefault="00E021FB" w:rsidP="00E021FB">
      <w:pPr>
        <w:spacing w:after="0" w:line="240" w:lineRule="auto"/>
      </w:pPr>
    </w:p>
    <w:p w:rsidR="001A6BC2" w:rsidRPr="009E4E7B" w:rsidRDefault="003874D4" w:rsidP="003874D4">
      <w:pPr>
        <w:pStyle w:val="Heading3"/>
        <w:numPr>
          <w:ilvl w:val="2"/>
          <w:numId w:val="1"/>
        </w:numPr>
      </w:pPr>
      <w:bookmarkStart w:id="144" w:name="_Toc46911595"/>
      <w:bookmarkStart w:id="145" w:name="_Toc46920831"/>
      <w:bookmarkStart w:id="146" w:name="_Toc46921131"/>
      <w:bookmarkStart w:id="147" w:name="_Toc46924390"/>
      <w:bookmarkStart w:id="148" w:name="_Toc47444567"/>
      <w:bookmarkStart w:id="149" w:name="_Toc49965680"/>
      <w:bookmarkStart w:id="150" w:name="_Toc49968340"/>
      <w:bookmarkStart w:id="151" w:name="_Toc49970777"/>
      <w:bookmarkStart w:id="152" w:name="_Toc50909447"/>
      <w:bookmarkStart w:id="153" w:name="_Toc46911597"/>
      <w:r>
        <w:t>Data s</w:t>
      </w:r>
      <w:r w:rsidR="001A6BC2">
        <w:t xml:space="preserve">haring </w:t>
      </w:r>
      <w:r>
        <w:t>a</w:t>
      </w:r>
      <w:r w:rsidR="001A6BC2">
        <w:t>greements</w:t>
      </w:r>
      <w:bookmarkEnd w:id="144"/>
      <w:bookmarkEnd w:id="145"/>
      <w:bookmarkEnd w:id="146"/>
      <w:bookmarkEnd w:id="147"/>
      <w:r w:rsidR="00537C19">
        <w:t xml:space="preserve"> formalise the terms and conditions of a data sharing project</w:t>
      </w:r>
      <w:bookmarkEnd w:id="148"/>
      <w:bookmarkEnd w:id="149"/>
      <w:bookmarkEnd w:id="150"/>
      <w:bookmarkEnd w:id="151"/>
      <w:bookmarkEnd w:id="152"/>
    </w:p>
    <w:p w:rsidR="00421958" w:rsidRDefault="00353580" w:rsidP="00353580">
      <w:r w:rsidRPr="00353580">
        <w:t>Data sharing agreements are a key governance and transparency measure.</w:t>
      </w:r>
      <w:r w:rsidR="00421958" w:rsidRPr="00421958">
        <w:t xml:space="preserve"> </w:t>
      </w:r>
      <w:r w:rsidR="00421958">
        <w:t>They</w:t>
      </w:r>
      <w:r w:rsidR="00421958" w:rsidRPr="00B106F4">
        <w:t xml:space="preserve"> set out the terms</w:t>
      </w:r>
      <w:r w:rsidR="00421958">
        <w:t xml:space="preserve"> and conditions for projects under the data sharing scheme.</w:t>
      </w:r>
      <w:r w:rsidRPr="00353580">
        <w:t xml:space="preserve"> All sharing arrangements under the Bill must be recorded in a data sharing agreement that includes a set of minimum mandatory terms. These standardised terms will support greater consistency and clarity of obligations and reduce the need for complex negotiations.</w:t>
      </w:r>
      <w:r w:rsidR="001A6BC2">
        <w:t xml:space="preserve"> </w:t>
      </w:r>
    </w:p>
    <w:p w:rsidR="00D862DB" w:rsidRDefault="00D862DB" w:rsidP="00353580">
      <w:r>
        <w:t xml:space="preserve">Data custodians </w:t>
      </w:r>
      <w:r w:rsidR="000D4827">
        <w:t xml:space="preserve">can </w:t>
      </w:r>
      <w:r>
        <w:t>add additional terms to the agreement, however</w:t>
      </w:r>
      <w:r w:rsidR="004265CD">
        <w:t>,</w:t>
      </w:r>
      <w:r>
        <w:t xml:space="preserve"> the</w:t>
      </w:r>
      <w:r w:rsidR="004265CD">
        <w:t xml:space="preserve"> National Data Commissioner</w:t>
      </w:r>
      <w:r w:rsidR="004265CD" w:rsidDel="004265CD">
        <w:t xml:space="preserve"> </w:t>
      </w:r>
      <w:r w:rsidR="004265CD">
        <w:t>may not be able to enforce them</w:t>
      </w:r>
      <w:r>
        <w:t xml:space="preserve">. </w:t>
      </w:r>
    </w:p>
    <w:p w:rsidR="00D862DB" w:rsidRDefault="00D862DB" w:rsidP="00353580">
      <w:r>
        <w:t xml:space="preserve">The agreements </w:t>
      </w:r>
      <w:r w:rsidR="00D029B8">
        <w:t>can</w:t>
      </w:r>
      <w:r w:rsidR="000D4827">
        <w:t xml:space="preserve"> </w:t>
      </w:r>
      <w:r>
        <w:t xml:space="preserve">be </w:t>
      </w:r>
      <w:r w:rsidR="00B40BAF">
        <w:t>changed or updated</w:t>
      </w:r>
      <w:r>
        <w:t>, for example</w:t>
      </w:r>
      <w:r w:rsidR="00557D0A">
        <w:t>,</w:t>
      </w:r>
      <w:r>
        <w:t xml:space="preserve"> to include additional accredited users or to address changes in </w:t>
      </w:r>
      <w:r w:rsidR="00E70FE4">
        <w:t xml:space="preserve">the </w:t>
      </w:r>
      <w:r>
        <w:t>scope of a project. Variations will need to be reported to the National Data Commissioner, and responsibilities to apply safeguards to manage overall risk will continue to apply.</w:t>
      </w:r>
    </w:p>
    <w:p w:rsidR="00EB7250" w:rsidRDefault="00353580" w:rsidP="001A6BC2">
      <w:r>
        <w:lastRenderedPageBreak/>
        <w:t xml:space="preserve">Information </w:t>
      </w:r>
      <w:r w:rsidR="009B281E">
        <w:t>from data sharing agreements</w:t>
      </w:r>
      <w:r>
        <w:t xml:space="preserve"> will be published by the National Data Commissioner in a register to support transparency and oversight of the scheme. The register will provide insight into what data is being shared, with who</w:t>
      </w:r>
      <w:r w:rsidR="00784A1A">
        <w:t>m</w:t>
      </w:r>
      <w:r>
        <w:t xml:space="preserve"> and for what benefit, and how safeguards are </w:t>
      </w:r>
      <w:r w:rsidR="00D6329D">
        <w:t xml:space="preserve">being </w:t>
      </w:r>
      <w:r w:rsidR="000C5B2F">
        <w:t>applied.</w:t>
      </w:r>
      <w:r w:rsidR="00D862DB">
        <w:rPr>
          <w:rStyle w:val="FootnoteReference"/>
        </w:rPr>
        <w:footnoteReference w:id="22"/>
      </w:r>
      <w:r w:rsidR="00BA0A29">
        <w:t xml:space="preserve"> </w:t>
      </w:r>
    </w:p>
    <w:p w:rsidR="00353580" w:rsidRDefault="00353580" w:rsidP="00D862DB">
      <w:r>
        <w:t xml:space="preserve">The National Data Commissioner </w:t>
      </w:r>
      <w:r w:rsidR="00042D03">
        <w:t xml:space="preserve">will have </w:t>
      </w:r>
      <w:r w:rsidR="00D862DB">
        <w:t xml:space="preserve">regulatory </w:t>
      </w:r>
      <w:r>
        <w:t xml:space="preserve">oversight of </w:t>
      </w:r>
      <w:r w:rsidR="003C271B">
        <w:t xml:space="preserve">data sharing </w:t>
      </w:r>
      <w:r>
        <w:t>agreements, and powers to monitor and enforce compliance with</w:t>
      </w:r>
      <w:r w:rsidR="00122E0A">
        <w:t xml:space="preserve"> participants</w:t>
      </w:r>
      <w:r w:rsidR="00557D0A">
        <w:t>’</w:t>
      </w:r>
      <w:r w:rsidR="003C271B">
        <w:t xml:space="preserve"> </w:t>
      </w:r>
      <w:r>
        <w:t>responsibilities under this Bill</w:t>
      </w:r>
      <w:r w:rsidR="003330CB">
        <w:t>.</w:t>
      </w:r>
      <w:r w:rsidR="000C029C">
        <w:t xml:space="preserve"> </w:t>
      </w:r>
    </w:p>
    <w:p w:rsidR="00B91E3E" w:rsidRDefault="00BA0A29" w:rsidP="003874D4">
      <w:pPr>
        <w:pStyle w:val="Heading3"/>
        <w:numPr>
          <w:ilvl w:val="2"/>
          <w:numId w:val="1"/>
        </w:numPr>
      </w:pPr>
      <w:bookmarkStart w:id="154" w:name="_Toc46920832"/>
      <w:bookmarkStart w:id="155" w:name="_Toc46921132"/>
      <w:bookmarkStart w:id="156" w:name="_Toc46924391"/>
      <w:bookmarkStart w:id="157" w:name="_Toc47444568"/>
      <w:bookmarkStart w:id="158" w:name="_Toc49965681"/>
      <w:bookmarkStart w:id="159" w:name="_Toc49968341"/>
      <w:bookmarkStart w:id="160" w:name="_Toc49970778"/>
      <w:bookmarkStart w:id="161" w:name="_Toc50909448"/>
      <w:r w:rsidRPr="00BA0A29">
        <w:t xml:space="preserve">The National Data Commissioner </w:t>
      </w:r>
      <w:r>
        <w:t xml:space="preserve">will </w:t>
      </w:r>
      <w:r w:rsidR="007C372D">
        <w:t xml:space="preserve">be empowered to </w:t>
      </w:r>
      <w:r w:rsidR="00294CB1">
        <w:t xml:space="preserve">oversee </w:t>
      </w:r>
      <w:r w:rsidR="007C372D">
        <w:t>the scheme</w:t>
      </w:r>
      <w:bookmarkEnd w:id="153"/>
      <w:bookmarkEnd w:id="154"/>
      <w:bookmarkEnd w:id="155"/>
      <w:bookmarkEnd w:id="156"/>
      <w:bookmarkEnd w:id="157"/>
      <w:bookmarkEnd w:id="158"/>
      <w:bookmarkEnd w:id="159"/>
      <w:bookmarkEnd w:id="160"/>
      <w:bookmarkEnd w:id="161"/>
    </w:p>
    <w:p w:rsidR="00B72672" w:rsidRDefault="00087124" w:rsidP="00087124">
      <w:bookmarkStart w:id="162" w:name="_Toc46911596"/>
      <w:bookmarkStart w:id="163" w:name="_Toc46920833"/>
      <w:bookmarkStart w:id="164" w:name="_Toc46921133"/>
      <w:bookmarkStart w:id="165" w:name="_Toc46924392"/>
      <w:r>
        <w:t xml:space="preserve">The Bill </w:t>
      </w:r>
      <w:r w:rsidR="00062609">
        <w:t xml:space="preserve">empowers </w:t>
      </w:r>
      <w:r>
        <w:t xml:space="preserve">the National Data Commissioner </w:t>
      </w:r>
      <w:r w:rsidR="00062609">
        <w:t>with advice, guidance, regulatory</w:t>
      </w:r>
      <w:r w:rsidR="00B72672">
        <w:t xml:space="preserve">, </w:t>
      </w:r>
      <w:r w:rsidR="00062609">
        <w:t>and</w:t>
      </w:r>
      <w:r w:rsidR="00B72672">
        <w:t xml:space="preserve"> advocacy </w:t>
      </w:r>
      <w:r w:rsidR="00062609">
        <w:t>functions</w:t>
      </w:r>
      <w:r w:rsidR="00B72672">
        <w:t xml:space="preserve"> to </w:t>
      </w:r>
      <w:r w:rsidR="00062609">
        <w:t>overs</w:t>
      </w:r>
      <w:r w:rsidR="00C222D0">
        <w:t>ee</w:t>
      </w:r>
      <w:r w:rsidR="00062609">
        <w:t xml:space="preserve"> the</w:t>
      </w:r>
      <w:r w:rsidR="00B72672">
        <w:t xml:space="preserve"> scheme. </w:t>
      </w:r>
      <w:r w:rsidR="00062609">
        <w:t>T</w:t>
      </w:r>
      <w:r w:rsidR="00B72672">
        <w:t>he Commissioner will</w:t>
      </w:r>
      <w:r w:rsidR="00B72672" w:rsidRPr="00B72672">
        <w:t xml:space="preserve"> </w:t>
      </w:r>
      <w:r w:rsidR="00B72672">
        <w:t xml:space="preserve">promote better sharing and release of public sector data by driving cultural change and supporting capability building among data scheme entities. The Commissioner will also accredit entities </w:t>
      </w:r>
      <w:r w:rsidR="00227688">
        <w:t>to build trust in the system, and</w:t>
      </w:r>
      <w:r w:rsidR="00B72672">
        <w:t xml:space="preserve"> </w:t>
      </w:r>
      <w:r w:rsidR="00B72672" w:rsidRPr="00AD67A7">
        <w:t>standardise and streamline existing processes</w:t>
      </w:r>
      <w:r w:rsidR="00B72672">
        <w:t>.</w:t>
      </w:r>
    </w:p>
    <w:p w:rsidR="00EB4E62" w:rsidRDefault="00B72672" w:rsidP="00EB4E62">
      <w:pPr>
        <w:spacing w:before="120" w:after="120"/>
      </w:pPr>
      <w:r>
        <w:t xml:space="preserve">The National Data Commissioner has a range of regulatory </w:t>
      </w:r>
      <w:r w:rsidR="00D355C6">
        <w:t xml:space="preserve">powers </w:t>
      </w:r>
      <w:r>
        <w:t>available</w:t>
      </w:r>
      <w:r w:rsidR="00D355C6">
        <w:t xml:space="preserve"> to monitor and enforce compliance with the Bill</w:t>
      </w:r>
      <w:r w:rsidR="00BC18C5">
        <w:t>, similar to other Australian government regulators</w:t>
      </w:r>
      <w:r w:rsidR="00D355C6">
        <w:t xml:space="preserve">. </w:t>
      </w:r>
      <w:r w:rsidR="00BC18C5">
        <w:t xml:space="preserve">The Commissioner can respond to complaints or raise </w:t>
      </w:r>
      <w:r w:rsidR="00BB11D3">
        <w:t>their</w:t>
      </w:r>
      <w:r w:rsidR="00BC18C5">
        <w:t xml:space="preserve"> own investigations if </w:t>
      </w:r>
      <w:r w:rsidR="00BB11D3">
        <w:t>they</w:t>
      </w:r>
      <w:r w:rsidR="00BC18C5">
        <w:t xml:space="preserve"> ha</w:t>
      </w:r>
      <w:r w:rsidR="00BB11D3">
        <w:t>ve</w:t>
      </w:r>
      <w:r w:rsidR="00BC18C5">
        <w:t xml:space="preserve"> reasons to suspect a breach of the scheme.</w:t>
      </w:r>
    </w:p>
    <w:p w:rsidR="00B72672" w:rsidRDefault="00BA0A29" w:rsidP="00932142">
      <w:pPr>
        <w:spacing w:before="120" w:after="120"/>
      </w:pPr>
      <w:r>
        <w:t>The Bill enables the Commissioner to take a graduated approach to regulatory enforcement and publish</w:t>
      </w:r>
      <w:r w:rsidR="00A257DF">
        <w:t xml:space="preserve"> process guidance on how they will apply their powers.</w:t>
      </w:r>
      <w:r>
        <w:t xml:space="preserve"> </w:t>
      </w:r>
      <w:r w:rsidR="00A257DF">
        <w:t>F</w:t>
      </w:r>
      <w:r w:rsidR="00D355C6">
        <w:t xml:space="preserve">ollowing </w:t>
      </w:r>
      <w:r w:rsidR="00A257DF">
        <w:t xml:space="preserve">an </w:t>
      </w:r>
      <w:r w:rsidR="00D355C6">
        <w:t xml:space="preserve">investigation, the Commissioner </w:t>
      </w:r>
      <w:r w:rsidR="00EC3B14">
        <w:t xml:space="preserve">could </w:t>
      </w:r>
      <w:r w:rsidR="00B72672">
        <w:t xml:space="preserve">give recommendations, accept and enter into enforceable undertakings, </w:t>
      </w:r>
      <w:r w:rsidR="00D355C6">
        <w:t xml:space="preserve">issue written directions, issue infringement notices, </w:t>
      </w:r>
      <w:r w:rsidR="00B72672">
        <w:t xml:space="preserve">seek injunctions, or seek civil or criminal penalties from a court. </w:t>
      </w:r>
    </w:p>
    <w:p w:rsidR="00087124" w:rsidRDefault="00187265" w:rsidP="00087124">
      <w:r>
        <w:t>As a statutory office holder, t</w:t>
      </w:r>
      <w:r w:rsidR="00087124">
        <w:t xml:space="preserve">he </w:t>
      </w:r>
      <w:r>
        <w:t xml:space="preserve">National Data </w:t>
      </w:r>
      <w:r w:rsidR="00087124">
        <w:t>Commissioner will be independent in performing and exercising their powers and functions</w:t>
      </w:r>
      <w:r>
        <w:t>. The Commissioner</w:t>
      </w:r>
      <w:r w:rsidR="00087124">
        <w:t xml:space="preserve"> will be supported by public servants of the Department of the Prime Minister and Cabinet</w:t>
      </w:r>
      <w:r>
        <w:t xml:space="preserve"> (the Department)</w:t>
      </w:r>
      <w:r w:rsidR="00B72672">
        <w:t xml:space="preserve">, </w:t>
      </w:r>
      <w:r w:rsidR="007A68D2">
        <w:t>and</w:t>
      </w:r>
      <w:r w:rsidR="00B72672">
        <w:t xml:space="preserve"> contractors and consultants where </w:t>
      </w:r>
      <w:r>
        <w:t>appropriate</w:t>
      </w:r>
      <w:r w:rsidR="00087124">
        <w:t>.</w:t>
      </w:r>
      <w:r w:rsidR="00042E5D" w:rsidRPr="00042E5D">
        <w:t xml:space="preserve"> </w:t>
      </w:r>
      <w:r w:rsidR="00042E5D">
        <w:t xml:space="preserve">To </w:t>
      </w:r>
      <w:r>
        <w:t>avoid potential regulatory conflict when regulating the Department</w:t>
      </w:r>
      <w:r w:rsidR="00042E5D">
        <w:t xml:space="preserve">, the Bill ensures that only the Commissioner exercises regulatory authority over the Department. The Bill </w:t>
      </w:r>
      <w:r>
        <w:t>requires</w:t>
      </w:r>
      <w:r w:rsidR="00042E5D">
        <w:t xml:space="preserve"> the Department </w:t>
      </w:r>
      <w:r>
        <w:t>to</w:t>
      </w:r>
      <w:r w:rsidR="00042E5D">
        <w:t xml:space="preserve"> provide adequate staffing to the Commissioner to perform its functions, and that the Commissioner has discretion in</w:t>
      </w:r>
      <w:r w:rsidR="00557D0A">
        <w:t xml:space="preserve"> the</w:t>
      </w:r>
      <w:r w:rsidR="00042E5D">
        <w:t xml:space="preserve"> performance of their role.</w:t>
      </w:r>
    </w:p>
    <w:p w:rsidR="00087124" w:rsidRDefault="007A68D2" w:rsidP="00087124">
      <w:pPr>
        <w:spacing w:before="120" w:after="120"/>
      </w:pPr>
      <w:r>
        <w:t>T</w:t>
      </w:r>
      <w:r w:rsidR="00087124">
        <w:t>he Bill establishes a National Data Advisory Council as a source of expertise</w:t>
      </w:r>
      <w:r>
        <w:t>, to support the Commissioner through advice on ethical data use, community expectations, technical best practice</w:t>
      </w:r>
      <w:r w:rsidR="00510F63">
        <w:t>,</w:t>
      </w:r>
      <w:r>
        <w:t xml:space="preserve"> and industry and international developments.</w:t>
      </w:r>
      <w:r w:rsidR="00087124">
        <w:t xml:space="preserve"> </w:t>
      </w:r>
      <w:r w:rsidR="00087124">
        <w:lastRenderedPageBreak/>
        <w:t xml:space="preserve">Members of the Council </w:t>
      </w:r>
      <w:r w:rsidR="00901D7D">
        <w:t>are</w:t>
      </w:r>
      <w:r w:rsidR="00087124">
        <w:t xml:space="preserve"> appointed by virtue of their depth of experience and expertise relevant to the data sharing scheme. </w:t>
      </w:r>
    </w:p>
    <w:p w:rsidR="00087124" w:rsidRDefault="00087124" w:rsidP="00FB2CCA">
      <w:pPr>
        <w:pStyle w:val="Heading4"/>
      </w:pPr>
      <w:r>
        <w:t>Complaints, redress</w:t>
      </w:r>
      <w:r w:rsidR="00510F63">
        <w:t>,</w:t>
      </w:r>
      <w:r>
        <w:t xml:space="preserve"> and merits review</w:t>
      </w:r>
    </w:p>
    <w:p w:rsidR="00901D7D" w:rsidRDefault="008F5B74" w:rsidP="00087124">
      <w:pPr>
        <w:spacing w:before="120" w:after="120"/>
      </w:pPr>
      <w:r>
        <w:t>Taking</w:t>
      </w:r>
      <w:r w:rsidR="00901D7D">
        <w:t xml:space="preserve"> a no-wrong door approach to handling complaints</w:t>
      </w:r>
      <w:r>
        <w:t>, the</w:t>
      </w:r>
      <w:r w:rsidR="00901D7D">
        <w:t xml:space="preserve"> Commissioner will work collaboratively with other </w:t>
      </w:r>
      <w:r w:rsidR="00EC7B7B">
        <w:t xml:space="preserve">oversight and integrity agencies </w:t>
      </w:r>
      <w:r w:rsidR="00901D7D">
        <w:t xml:space="preserve">to </w:t>
      </w:r>
      <w:r w:rsidR="00EC7B7B">
        <w:t>ensure the appropriate body handles</w:t>
      </w:r>
      <w:r w:rsidR="00901D7D">
        <w:t xml:space="preserve"> </w:t>
      </w:r>
      <w:r w:rsidR="00EC7B7B">
        <w:t xml:space="preserve">a </w:t>
      </w:r>
      <w:r w:rsidR="00901D7D">
        <w:t xml:space="preserve">complaint. </w:t>
      </w:r>
      <w:r w:rsidR="00087124">
        <w:t>The Bill includes a s</w:t>
      </w:r>
      <w:r w:rsidR="000B1133">
        <w:t>cheme-</w:t>
      </w:r>
      <w:r w:rsidR="00087124">
        <w:t xml:space="preserve">specific complaint mechanism for data scheme entities to complain to the National Data Commissioner about actual or suspected breaches of the Bill by another </w:t>
      </w:r>
      <w:r w:rsidR="00901D7D">
        <w:t xml:space="preserve">data scheme </w:t>
      </w:r>
      <w:r w:rsidR="000D7A5A">
        <w:t>entity</w:t>
      </w:r>
      <w:r w:rsidR="00087124">
        <w:t xml:space="preserve">. </w:t>
      </w:r>
    </w:p>
    <w:p w:rsidR="00087124" w:rsidRDefault="00087124" w:rsidP="00087124">
      <w:pPr>
        <w:spacing w:before="120" w:after="120"/>
      </w:pPr>
      <w:r>
        <w:t>Merits and judicial review will be available for decisions made by the National Data Commissioner such as accreditation decisions. Existing avenues</w:t>
      </w:r>
      <w:r w:rsidRPr="00D07B60">
        <w:t xml:space="preserve"> </w:t>
      </w:r>
      <w:r>
        <w:t xml:space="preserve">for redress </w:t>
      </w:r>
      <w:r w:rsidR="000722C3">
        <w:t>are unaffected</w:t>
      </w:r>
      <w:r>
        <w:t xml:space="preserve">, such as complaints to the Ombudsman about the actions of </w:t>
      </w:r>
      <w:r w:rsidR="008D1281">
        <w:t>Australian G</w:t>
      </w:r>
      <w:r>
        <w:t xml:space="preserve">overnment agencies and complaints to the Australian Information Commissioner under the </w:t>
      </w:r>
      <w:r w:rsidRPr="00751E97">
        <w:rPr>
          <w:i/>
        </w:rPr>
        <w:t>Privacy Act 1988</w:t>
      </w:r>
      <w:r>
        <w:t xml:space="preserve"> where a suspected mishandling of personal information has occurred. </w:t>
      </w:r>
    </w:p>
    <w:p w:rsidR="003330CB" w:rsidRDefault="00087124" w:rsidP="00FF3F1D">
      <w:r>
        <w:t xml:space="preserve">The Bill </w:t>
      </w:r>
      <w:r w:rsidR="00F4696F">
        <w:t xml:space="preserve">does </w:t>
      </w:r>
      <w:r>
        <w:t>not provide for merits review of data sharing decisions by data custodians</w:t>
      </w:r>
      <w:r w:rsidR="00B45565">
        <w:t xml:space="preserve">. </w:t>
      </w:r>
      <w:r w:rsidR="00F4696F">
        <w:t>D</w:t>
      </w:r>
      <w:r>
        <w:t xml:space="preserve">ata custodians’ sharing decisions will be capable of challenge through judicial review channels, such as the </w:t>
      </w:r>
      <w:r>
        <w:rPr>
          <w:i/>
        </w:rPr>
        <w:t>Administrative Decisions (Judicial Review) Act 1977</w:t>
      </w:r>
      <w:r>
        <w:t xml:space="preserve">. </w:t>
      </w:r>
      <w:r w:rsidR="00F4696F">
        <w:t xml:space="preserve">If </w:t>
      </w:r>
      <w:r w:rsidR="00B45565">
        <w:t xml:space="preserve">decisions are made using data shared under the Bill that impact individuals, existing </w:t>
      </w:r>
      <w:r w:rsidR="00F4696F">
        <w:t xml:space="preserve">merits review </w:t>
      </w:r>
      <w:r w:rsidR="00B45565">
        <w:t>avenues apply. For example</w:t>
      </w:r>
      <w:r w:rsidR="00472D64">
        <w:t>,</w:t>
      </w:r>
      <w:r w:rsidR="00B45565">
        <w:t xml:space="preserve"> if</w:t>
      </w:r>
      <w:r w:rsidR="00FA2B89">
        <w:t xml:space="preserve"> an</w:t>
      </w:r>
      <w:r w:rsidR="00B45565">
        <w:t xml:space="preserve"> output that exited from the data sharing scheme is subsequently used to pursue a compliance action</w:t>
      </w:r>
      <w:r w:rsidR="00FA2B89">
        <w:t xml:space="preserve"> against an individual</w:t>
      </w:r>
      <w:r w:rsidR="00B45565">
        <w:t xml:space="preserve"> under another law</w:t>
      </w:r>
      <w:r w:rsidR="00472D64">
        <w:t>,</w:t>
      </w:r>
      <w:r w:rsidR="00B45565">
        <w:t xml:space="preserve"> then merits review </w:t>
      </w:r>
      <w:r w:rsidR="00F4696F">
        <w:t xml:space="preserve">under </w:t>
      </w:r>
      <w:r w:rsidR="00B45565">
        <w:t>that law will be available to review such decisions.</w:t>
      </w:r>
    </w:p>
    <w:p w:rsidR="00D6046B" w:rsidRDefault="003330CB" w:rsidP="00FF3F1D">
      <w:r>
        <w:t xml:space="preserve">The National Data Commissioner will not be able to overturn </w:t>
      </w:r>
      <w:r w:rsidR="00951812">
        <w:t xml:space="preserve">a decision not to </w:t>
      </w:r>
      <w:r>
        <w:t>shar</w:t>
      </w:r>
      <w:r w:rsidR="00951812">
        <w:t>e data</w:t>
      </w:r>
      <w:r w:rsidR="00AD632C">
        <w:t xml:space="preserve"> </w:t>
      </w:r>
      <w:r w:rsidR="00951812">
        <w:t>as there is no duty to share using the Bill</w:t>
      </w:r>
      <w:r>
        <w:t>. However, as part of their annual reporting</w:t>
      </w:r>
      <w:r w:rsidR="003C0C7F">
        <w:t>,</w:t>
      </w:r>
      <w:r>
        <w:t xml:space="preserve"> </w:t>
      </w:r>
      <w:r w:rsidR="003C0C7F">
        <w:t xml:space="preserve">the Commissioner </w:t>
      </w:r>
      <w:r w:rsidR="00E12AFE">
        <w:t xml:space="preserve">could </w:t>
      </w:r>
      <w:r>
        <w:t xml:space="preserve">seek to identify reasons for such denials and improve guidance to </w:t>
      </w:r>
      <w:r w:rsidR="00E12AFE">
        <w:t xml:space="preserve">resolve </w:t>
      </w:r>
      <w:r>
        <w:t>any uncertaint</w:t>
      </w:r>
      <w:r w:rsidR="00E12AFE">
        <w:t>y leading to those decisions</w:t>
      </w:r>
      <w:r>
        <w:t>.</w:t>
      </w:r>
    </w:p>
    <w:p w:rsidR="0098074D" w:rsidRPr="009E4E7B" w:rsidRDefault="0098074D" w:rsidP="00FB2CCA">
      <w:pPr>
        <w:pStyle w:val="Heading4"/>
      </w:pPr>
      <w:r>
        <w:t>Registers</w:t>
      </w:r>
      <w:bookmarkEnd w:id="162"/>
      <w:bookmarkEnd w:id="163"/>
      <w:bookmarkEnd w:id="164"/>
      <w:bookmarkEnd w:id="165"/>
    </w:p>
    <w:p w:rsidR="005D4C04" w:rsidRDefault="001A6BC2" w:rsidP="00385025">
      <w:pPr>
        <w:spacing w:after="120"/>
      </w:pPr>
      <w:r>
        <w:t>Making information publicly available and being t</w:t>
      </w:r>
      <w:r w:rsidRPr="002877B9">
        <w:t>ransparen</w:t>
      </w:r>
      <w:r>
        <w:t>t about the operation of the data sharing scheme and who is using data for what purposes</w:t>
      </w:r>
      <w:r w:rsidRPr="002877B9">
        <w:t xml:space="preserve"> </w:t>
      </w:r>
      <w:r>
        <w:t>helps build</w:t>
      </w:r>
      <w:r w:rsidRPr="002A2C15">
        <w:t xml:space="preserve"> </w:t>
      </w:r>
      <w:r>
        <w:t>public</w:t>
      </w:r>
      <w:r w:rsidRPr="002877B9">
        <w:t xml:space="preserve"> trust and confidence</w:t>
      </w:r>
      <w:r>
        <w:t>. The Bill requir</w:t>
      </w:r>
      <w:r w:rsidR="007D796E">
        <w:t xml:space="preserve">es the National Data Commissioner to </w:t>
      </w:r>
      <w:r w:rsidR="0087087F">
        <w:t>publish</w:t>
      </w:r>
      <w:r w:rsidR="007D796E" w:rsidRPr="007E0A94">
        <w:t xml:space="preserve"> registers of </w:t>
      </w:r>
      <w:r w:rsidR="008D1281">
        <w:t>d</w:t>
      </w:r>
      <w:r w:rsidR="007D796E" w:rsidRPr="00664F6D">
        <w:t xml:space="preserve">ata </w:t>
      </w:r>
      <w:r w:rsidR="008D1281">
        <w:t>s</w:t>
      </w:r>
      <w:r w:rsidR="007D796E" w:rsidRPr="007E0A94">
        <w:t xml:space="preserve">haring </w:t>
      </w:r>
      <w:r w:rsidR="008D1281">
        <w:t>a</w:t>
      </w:r>
      <w:r w:rsidR="007D796E" w:rsidRPr="007E0A94">
        <w:t>greements</w:t>
      </w:r>
      <w:r w:rsidR="007D796E">
        <w:t xml:space="preserve">, </w:t>
      </w:r>
      <w:r w:rsidR="00E173E1" w:rsidRPr="00E173E1">
        <w:t>accredited user</w:t>
      </w:r>
      <w:r w:rsidR="007D796E">
        <w:t>s</w:t>
      </w:r>
      <w:r w:rsidR="00510F63">
        <w:t>,</w:t>
      </w:r>
      <w:r w:rsidR="007D796E">
        <w:t xml:space="preserve"> and </w:t>
      </w:r>
      <w:r w:rsidR="00E173E1" w:rsidRPr="00E173E1">
        <w:t>accredited data service provider</w:t>
      </w:r>
      <w:r w:rsidR="007D796E" w:rsidRPr="007E0A94">
        <w:t>s</w:t>
      </w:r>
      <w:r w:rsidR="007D796E">
        <w:t xml:space="preserve">. </w:t>
      </w:r>
    </w:p>
    <w:p w:rsidR="00385025" w:rsidRDefault="0087087F" w:rsidP="00385025">
      <w:r>
        <w:t>Publishing information about</w:t>
      </w:r>
      <w:r w:rsidR="00385025">
        <w:t xml:space="preserve"> the </w:t>
      </w:r>
      <w:r>
        <w:t>participants</w:t>
      </w:r>
      <w:r w:rsidR="00385025">
        <w:t xml:space="preserve"> accredited </w:t>
      </w:r>
      <w:r>
        <w:t xml:space="preserve">in the </w:t>
      </w:r>
      <w:r w:rsidR="00385025">
        <w:t xml:space="preserve">data sharing scheme and the </w:t>
      </w:r>
      <w:r>
        <w:t>data sharing projects can</w:t>
      </w:r>
      <w:r w:rsidR="005D4C04">
        <w:t xml:space="preserve"> </w:t>
      </w:r>
      <w:r w:rsidR="00385025" w:rsidRPr="00547A44">
        <w:t xml:space="preserve">also </w:t>
      </w:r>
      <w:r w:rsidR="005D4C04">
        <w:t>support greater discovery of public sector data</w:t>
      </w:r>
      <w:r w:rsidR="00FA0BF3">
        <w:t xml:space="preserve"> and</w:t>
      </w:r>
      <w:r>
        <w:t xml:space="preserve"> </w:t>
      </w:r>
      <w:r w:rsidR="00421958">
        <w:t>how it is used</w:t>
      </w:r>
      <w:r w:rsidR="00FA0BF3">
        <w:t xml:space="preserve"> to </w:t>
      </w:r>
      <w:r w:rsidR="005D4C04">
        <w:t>drive innovati</w:t>
      </w:r>
      <w:r w:rsidR="00421958">
        <w:t>on</w:t>
      </w:r>
      <w:r w:rsidR="005D4C04">
        <w:t xml:space="preserve">. It can uncover what data already exists, and reduce the need to collect it multiple times.  </w:t>
      </w:r>
    </w:p>
    <w:p w:rsidR="00C77EC9" w:rsidRDefault="00467E4A" w:rsidP="003874D4">
      <w:pPr>
        <w:pStyle w:val="Heading3"/>
        <w:numPr>
          <w:ilvl w:val="2"/>
          <w:numId w:val="1"/>
        </w:numPr>
      </w:pPr>
      <w:bookmarkStart w:id="166" w:name="_Toc49965682"/>
      <w:bookmarkStart w:id="167" w:name="_Toc49968342"/>
      <w:bookmarkStart w:id="168" w:name="_Toc49970779"/>
      <w:bookmarkStart w:id="169" w:name="_Toc50909449"/>
      <w:r>
        <w:lastRenderedPageBreak/>
        <w:t>Periodic r</w:t>
      </w:r>
      <w:r w:rsidR="00C77EC9">
        <w:t>eview of the Bill</w:t>
      </w:r>
      <w:r>
        <w:t xml:space="preserve"> and its operation</w:t>
      </w:r>
      <w:bookmarkEnd w:id="166"/>
      <w:bookmarkEnd w:id="167"/>
      <w:bookmarkEnd w:id="168"/>
      <w:bookmarkEnd w:id="169"/>
    </w:p>
    <w:p w:rsidR="00A26C45" w:rsidRPr="00A26C45" w:rsidRDefault="004852A2" w:rsidP="00A26C45">
      <w:r>
        <w:t>T</w:t>
      </w:r>
      <w:r w:rsidR="00A26C45" w:rsidRPr="00A26C45">
        <w:t xml:space="preserve">he </w:t>
      </w:r>
      <w:r w:rsidR="00227688" w:rsidRPr="00074830">
        <w:t>Data Availability and Transparency Bill</w:t>
      </w:r>
      <w:r w:rsidR="00227688">
        <w:t xml:space="preserve"> </w:t>
      </w:r>
      <w:r w:rsidR="00A26C45" w:rsidRPr="00A26C45">
        <w:t>is drafted as principles-based to remain relevant and adaptable to evolving technology and public expectations</w:t>
      </w:r>
      <w:r>
        <w:t>. The Bill, legislative instruments, Guidelines</w:t>
      </w:r>
      <w:r w:rsidR="00183ED0">
        <w:t>,</w:t>
      </w:r>
      <w:r>
        <w:t xml:space="preserve"> and guidance </w:t>
      </w:r>
      <w:r w:rsidR="00A26C45">
        <w:t xml:space="preserve">will </w:t>
      </w:r>
      <w:r w:rsidR="00A26C45" w:rsidRPr="00A26C45">
        <w:t xml:space="preserve">be reviewed periodically to ensure the data sharing scheme operates as intended, and to provide </w:t>
      </w:r>
      <w:r w:rsidR="00183ED0">
        <w:t xml:space="preserve">an </w:t>
      </w:r>
      <w:r w:rsidR="00A26C45" w:rsidRPr="00A26C45">
        <w:t xml:space="preserve">opportunity for improvement. </w:t>
      </w:r>
    </w:p>
    <w:p w:rsidR="009C5D13" w:rsidRDefault="000B1F4D" w:rsidP="009C5D13">
      <w:r>
        <w:t>As a new scheme impacting data across government, the Bill will be reviewed three years after commencement</w:t>
      </w:r>
      <w:r w:rsidR="00565F59">
        <w:t xml:space="preserve"> which could assess its effectiveness</w:t>
      </w:r>
      <w:r>
        <w:t>.</w:t>
      </w:r>
      <w:r w:rsidR="00A26C45" w:rsidRPr="00A26C45">
        <w:t xml:space="preserve"> Periodic reviews will </w:t>
      </w:r>
      <w:r w:rsidR="000148A2">
        <w:t>then</w:t>
      </w:r>
      <w:r w:rsidR="00A26C45" w:rsidRPr="00A26C45">
        <w:t xml:space="preserve"> occur every ten years from commencement to address emerging issues</w:t>
      </w:r>
      <w:r w:rsidR="000148A2">
        <w:t>, with</w:t>
      </w:r>
      <w:r w:rsidR="00A26C45" w:rsidRPr="00A26C45">
        <w:t xml:space="preserve"> reports </w:t>
      </w:r>
      <w:r w:rsidR="000148A2">
        <w:t xml:space="preserve">to </w:t>
      </w:r>
      <w:r w:rsidR="00A26C45" w:rsidRPr="00A26C45">
        <w:t xml:space="preserve">be tabled in Parliament. </w:t>
      </w:r>
    </w:p>
    <w:p w:rsidR="005D56F4" w:rsidRDefault="005D4C04" w:rsidP="009C5D13">
      <w:r>
        <w:t>The National Data Commissioner will report annually on the operation of the data scheme and address any systemic issues to protect data while encouraging its greater sharing and use.</w:t>
      </w:r>
    </w:p>
    <w:p w:rsidR="00377F6E" w:rsidRDefault="00377F6E" w:rsidP="001E078C">
      <w:pPr>
        <w:pStyle w:val="NoSpacing"/>
      </w:pPr>
      <w:bookmarkStart w:id="170" w:name="_Toc49970780"/>
      <w:bookmarkStart w:id="171" w:name="_Toc49965683"/>
      <w:bookmarkStart w:id="172" w:name="_Toc49968343"/>
      <w:r>
        <w:br w:type="page"/>
      </w:r>
    </w:p>
    <w:p w:rsidR="00C93EC4" w:rsidRPr="006E6F44" w:rsidRDefault="00294CB1" w:rsidP="00BA15EA">
      <w:pPr>
        <w:pStyle w:val="Heading1"/>
        <w:numPr>
          <w:ilvl w:val="0"/>
          <w:numId w:val="1"/>
        </w:numPr>
      </w:pPr>
      <w:bookmarkStart w:id="173" w:name="_Toc50909450"/>
      <w:r>
        <w:lastRenderedPageBreak/>
        <w:t>The d</w:t>
      </w:r>
      <w:r w:rsidR="006E6F44">
        <w:t>ata s</w:t>
      </w:r>
      <w:r w:rsidR="005D56F4" w:rsidRPr="006E6F44">
        <w:t>h</w:t>
      </w:r>
      <w:r w:rsidR="006E6F44">
        <w:t>aring s</w:t>
      </w:r>
      <w:r w:rsidR="005D56F4" w:rsidRPr="006E6F44">
        <w:t>cheme in practice</w:t>
      </w:r>
      <w:bookmarkEnd w:id="170"/>
      <w:bookmarkEnd w:id="173"/>
      <w:r w:rsidR="005D56F4" w:rsidRPr="006E6F44">
        <w:t xml:space="preserve"> </w:t>
      </w:r>
      <w:bookmarkStart w:id="174" w:name="_Toc47444561"/>
      <w:bookmarkEnd w:id="171"/>
      <w:bookmarkEnd w:id="172"/>
    </w:p>
    <w:p w:rsidR="000A6C99" w:rsidRDefault="000B24E1" w:rsidP="00C93EC4">
      <w:r>
        <w:t xml:space="preserve">In September 2019, the Office of the National Data Commissioner released </w:t>
      </w:r>
      <w:r w:rsidR="00E16677">
        <w:t xml:space="preserve">a Discussion Paper presenting our policy thinking and sought views about </w:t>
      </w:r>
      <w:r w:rsidR="004D5285">
        <w:t xml:space="preserve">arising </w:t>
      </w:r>
      <w:r w:rsidR="00E16677">
        <w:t>issues in data sharing.</w:t>
      </w:r>
      <w:r w:rsidR="00A86C2C">
        <w:t xml:space="preserve"> Key areas included</w:t>
      </w:r>
      <w:r w:rsidR="000A6C99">
        <w:t>:</w:t>
      </w:r>
    </w:p>
    <w:p w:rsidR="004D5285" w:rsidRDefault="004D5285" w:rsidP="008D1281">
      <w:pPr>
        <w:pStyle w:val="ListParagraph"/>
        <w:numPr>
          <w:ilvl w:val="0"/>
          <w:numId w:val="22"/>
        </w:numPr>
      </w:pPr>
      <w:r>
        <w:t>ensuring sharing data is in the public interest</w:t>
      </w:r>
    </w:p>
    <w:p w:rsidR="000A6C99" w:rsidRDefault="00575555" w:rsidP="009259BF">
      <w:pPr>
        <w:pStyle w:val="ListParagraph"/>
        <w:numPr>
          <w:ilvl w:val="0"/>
          <w:numId w:val="22"/>
        </w:numPr>
      </w:pPr>
      <w:r>
        <w:t xml:space="preserve">the </w:t>
      </w:r>
      <w:r w:rsidR="000A6C99">
        <w:t>re</w:t>
      </w:r>
      <w:r>
        <w:t>quirement for</w:t>
      </w:r>
      <w:r w:rsidR="000A6C99">
        <w:t xml:space="preserve"> consent unless unreasonable or impracticable</w:t>
      </w:r>
    </w:p>
    <w:p w:rsidR="000A6C99" w:rsidRDefault="000A6C99" w:rsidP="009259BF">
      <w:pPr>
        <w:pStyle w:val="ListParagraph"/>
        <w:numPr>
          <w:ilvl w:val="0"/>
          <w:numId w:val="22"/>
        </w:numPr>
      </w:pPr>
      <w:r>
        <w:t>adherence to ethics processes to determine the merits of a project</w:t>
      </w:r>
    </w:p>
    <w:p w:rsidR="004D5285" w:rsidRDefault="004D5285" w:rsidP="004D5285">
      <w:pPr>
        <w:pStyle w:val="ListParagraph"/>
        <w:numPr>
          <w:ilvl w:val="0"/>
          <w:numId w:val="22"/>
        </w:numPr>
      </w:pPr>
      <w:r>
        <w:t xml:space="preserve">protecting the </w:t>
      </w:r>
      <w:r w:rsidR="000A6C99">
        <w:t xml:space="preserve">rights and interests of Aboriginal and Torres Strait Islander peoples </w:t>
      </w:r>
    </w:p>
    <w:p w:rsidR="004D5285" w:rsidRDefault="004D5285" w:rsidP="004D5285">
      <w:pPr>
        <w:pStyle w:val="ListParagraph"/>
        <w:numPr>
          <w:ilvl w:val="0"/>
          <w:numId w:val="22"/>
        </w:numPr>
      </w:pPr>
      <w:r>
        <w:t>the public interest derived from commercial applications of data sharing, and</w:t>
      </w:r>
    </w:p>
    <w:p w:rsidR="001D60DE" w:rsidRDefault="004D5285" w:rsidP="00437AD1">
      <w:pPr>
        <w:pStyle w:val="ListParagraph"/>
        <w:numPr>
          <w:ilvl w:val="0"/>
          <w:numId w:val="22"/>
        </w:numPr>
      </w:pPr>
      <w:r>
        <w:t xml:space="preserve">maintaining </w:t>
      </w:r>
      <w:r w:rsidR="00B86BD7">
        <w:t xml:space="preserve">the </w:t>
      </w:r>
      <w:r w:rsidR="0085355B">
        <w:t>s</w:t>
      </w:r>
      <w:r w:rsidR="001D60DE">
        <w:t xml:space="preserve">ecurity of the scheme. </w:t>
      </w:r>
    </w:p>
    <w:p w:rsidR="000B24E1" w:rsidRDefault="002F64AA" w:rsidP="00C93EC4">
      <w:r>
        <w:t>S</w:t>
      </w:r>
      <w:r w:rsidR="00E16677">
        <w:t>ubmissions and forums with stakeholders across the country helped shape our policy thinking</w:t>
      </w:r>
      <w:r w:rsidR="003A6E2C">
        <w:t>, but we recognise more needs to be done</w:t>
      </w:r>
      <w:r w:rsidR="00E16677">
        <w:t>.</w:t>
      </w:r>
      <w:r w:rsidR="003A6E2C">
        <w:t xml:space="preserve"> </w:t>
      </w:r>
      <w:r w:rsidR="001176EC">
        <w:t>A</w:t>
      </w:r>
      <w:r w:rsidR="003A6E2C">
        <w:t>s we operationalise the data sharing scheme</w:t>
      </w:r>
      <w:r w:rsidR="000C23C4">
        <w:t>,</w:t>
      </w:r>
      <w:r w:rsidR="003A6E2C">
        <w:t xml:space="preserve"> greater clarity </w:t>
      </w:r>
      <w:r w:rsidR="00302D96">
        <w:t>will be provided in these areas</w:t>
      </w:r>
      <w:r w:rsidR="003A6E2C">
        <w:t xml:space="preserve">. </w:t>
      </w:r>
      <w:r w:rsidR="00E16677">
        <w:t xml:space="preserve">Here we provide a summary of </w:t>
      </w:r>
      <w:r w:rsidR="003A6E2C">
        <w:t>what we have heard on the above issues and our approach to address</w:t>
      </w:r>
      <w:r w:rsidR="00CE6689">
        <w:t>ing</w:t>
      </w:r>
      <w:r w:rsidR="003A6E2C">
        <w:t xml:space="preserve"> them</w:t>
      </w:r>
      <w:r w:rsidR="00DE082B">
        <w:t>.</w:t>
      </w:r>
      <w:r w:rsidR="003A6E2C">
        <w:t xml:space="preserve"> </w:t>
      </w:r>
      <w:r w:rsidR="00DE082B">
        <w:t xml:space="preserve">The Office of the National Data Commissioner </w:t>
      </w:r>
      <w:r w:rsidR="00F027F6">
        <w:t>will continue</w:t>
      </w:r>
      <w:r w:rsidR="00E16677">
        <w:t xml:space="preserve"> engaging further as we operationalise the data sharing scheme</w:t>
      </w:r>
      <w:r w:rsidR="003A6E2C">
        <w:t xml:space="preserve">, including </w:t>
      </w:r>
      <w:r w:rsidR="00F027F6">
        <w:t xml:space="preserve">as we prepare the </w:t>
      </w:r>
      <w:r w:rsidR="00A26662">
        <w:t>G</w:t>
      </w:r>
      <w:r w:rsidR="00F027F6">
        <w:t>uidelines and guidance to help participants operate effectively in the scheme</w:t>
      </w:r>
      <w:r w:rsidR="00E16677">
        <w:t>.</w:t>
      </w:r>
      <w:r w:rsidR="004E5888">
        <w:t xml:space="preserve"> </w:t>
      </w:r>
    </w:p>
    <w:p w:rsidR="00600931" w:rsidRDefault="0037685C" w:rsidP="00600931">
      <w:pPr>
        <w:pStyle w:val="Heading2"/>
        <w:numPr>
          <w:ilvl w:val="1"/>
          <w:numId w:val="1"/>
        </w:numPr>
        <w:spacing w:after="160" w:line="259" w:lineRule="auto"/>
      </w:pPr>
      <w:bookmarkStart w:id="175" w:name="_Toc48151406"/>
      <w:bookmarkStart w:id="176" w:name="_Toc48151522"/>
      <w:bookmarkStart w:id="177" w:name="_Toc48151553"/>
      <w:bookmarkStart w:id="178" w:name="_Toc48151584"/>
      <w:bookmarkStart w:id="179" w:name="_Toc48151627"/>
      <w:bookmarkStart w:id="180" w:name="_Toc48316365"/>
      <w:bookmarkStart w:id="181" w:name="_Toc48316532"/>
      <w:bookmarkStart w:id="182" w:name="_Toc48392167"/>
      <w:bookmarkStart w:id="183" w:name="_Toc49965684"/>
      <w:bookmarkStart w:id="184" w:name="_Toc49968344"/>
      <w:bookmarkStart w:id="185" w:name="_Toc49970781"/>
      <w:bookmarkStart w:id="186" w:name="_Toc50909451"/>
      <w:bookmarkEnd w:id="175"/>
      <w:bookmarkEnd w:id="176"/>
      <w:bookmarkEnd w:id="177"/>
      <w:bookmarkEnd w:id="178"/>
      <w:bookmarkEnd w:id="179"/>
      <w:bookmarkEnd w:id="180"/>
      <w:bookmarkEnd w:id="181"/>
      <w:bookmarkEnd w:id="182"/>
      <w:r>
        <w:t>Ensuring s</w:t>
      </w:r>
      <w:r w:rsidR="00600931">
        <w:t>haring</w:t>
      </w:r>
      <w:r w:rsidR="00BB0B4C">
        <w:t xml:space="preserve"> data</w:t>
      </w:r>
      <w:r w:rsidR="00600931">
        <w:t xml:space="preserve"> is in the public interest</w:t>
      </w:r>
      <w:bookmarkEnd w:id="183"/>
      <w:bookmarkEnd w:id="184"/>
      <w:bookmarkEnd w:id="185"/>
      <w:bookmarkEnd w:id="186"/>
    </w:p>
    <w:p w:rsidR="00925D8D" w:rsidRDefault="00925D8D" w:rsidP="00925D8D">
      <w:r>
        <w:t>The desire to serve the public interest underpins the Australian Government’s drive to better share and use public sector data through the Data Availability and Transparency Bill 2020 (the Bill). A common query about the data sharing scheme is how it will define when sharing is in the public interest. The term ‘public interest’ is not defined in the Bill beca</w:t>
      </w:r>
      <w:r w:rsidR="00294CB1">
        <w:t xml:space="preserve">use it is an evolving concept. </w:t>
      </w:r>
      <w:r w:rsidR="00294CB1">
        <w:rPr>
          <w:rStyle w:val="FootnoteReference"/>
        </w:rPr>
        <w:footnoteReference w:id="23"/>
      </w:r>
      <w:r>
        <w:t>There is no universally accepted approach to measuring the public interest, but there is agreement that transparency and consultation in the process are vital for building trust and accountability.</w:t>
      </w:r>
    </w:p>
    <w:p w:rsidR="00925D8D" w:rsidRDefault="00925D8D" w:rsidP="00925D8D">
      <w:r>
        <w:t>The Bill requires data scheme participants to describe how the public interest is served by the sharing before any sharing can commence. The transparency requirements in the Bill support scrutiny of the scheme by the public and the National Data Commissioner. The data sharing agreements – which will capture how all of the safeguards a</w:t>
      </w:r>
      <w:r w:rsidR="00294CB1">
        <w:t>re applied – will be published o</w:t>
      </w:r>
      <w:r>
        <w:t xml:space="preserve">n a public register. This transparency promotes accountability across the scheme, putting the onus on </w:t>
      </w:r>
      <w:r>
        <w:lastRenderedPageBreak/>
        <w:t>decision-makers to demonstrate to the public how the public interest is served by the sharing.</w:t>
      </w:r>
    </w:p>
    <w:p w:rsidR="00925D8D" w:rsidRDefault="00925D8D" w:rsidP="00925D8D">
      <w:r>
        <w:t>Community expectations around public interest are subjective and change over time. This gives data custodians and users flexibility in how they evaluate the public interest that is served by a particular project as community expectations evolve. However, it also gives them a greater responsibility to be aware of the implications of the project and to be sensitive to current community expectations.</w:t>
      </w:r>
    </w:p>
    <w:p w:rsidR="00925D8D" w:rsidRDefault="00925D8D" w:rsidP="00925D8D">
      <w:r>
        <w:t xml:space="preserve">Evaluating public interest of a project needs to cover multiple domains, and data scheme participants must consider how the public interest is served across each of them. This will include a consideration of the potential benefits and risks to the economy, public health, the environment, and overall social wellbeing. The evaluation also has to pay attention to the risks and benefits for individuals and businesses as well as population groups, including vulnerable communities. The risks of not sharing should also form part of this evaluation. </w:t>
      </w:r>
    </w:p>
    <w:p w:rsidR="00925D8D" w:rsidRDefault="00925D8D" w:rsidP="00925D8D">
      <w:r>
        <w:t>Special care should be taken when assessing the public interest where sharing involves the private sector or vulnerable groups. While there may be short term benefits of sharing such as increased jobs in a particular sector, the sharing may also lead to an unfair competitive advantage to certain businesses. Likewise, some proposed sharing may appear to benefit the wider community, but may be at the expense of vulnerable groups. Public interest assessments need to outline these risks and benefits and explain how they have been weighed against each other.</w:t>
      </w:r>
    </w:p>
    <w:p w:rsidR="00925D8D" w:rsidRDefault="00925D8D" w:rsidP="00925D8D">
      <w:r>
        <w:t xml:space="preserve">Such a process inevitably requires subjective judgements to be made, and the scheme requires custodians to apply and demonstrate rigour in this process. </w:t>
      </w:r>
    </w:p>
    <w:p w:rsidR="00925D8D" w:rsidRDefault="00925D8D" w:rsidP="00925D8D">
      <w:r>
        <w:t xml:space="preserve">The National Data Commissioner will be responsible for providing guidance to help data scheme participants evaluate and articulate how the public interest is served by a particular project. Guidance on applying the data sharing principles under the Bill will clarify how the Project Principle is applied to assess and demonstrate public interest. During the consultation period, we invite comment on the position that the public interest is served by good public policy delivered by effective institutions in line with community expectations and norms and welcome views on what matters the most to you when it comes to evaluating the public interest of a project.  </w:t>
      </w:r>
    </w:p>
    <w:p w:rsidR="00925D8D" w:rsidRPr="001E078C" w:rsidRDefault="00925D8D" w:rsidP="001E078C">
      <w:pPr>
        <w:pStyle w:val="IntenseQuote"/>
      </w:pPr>
      <w:r w:rsidRPr="001E078C">
        <w:t xml:space="preserve">“We welcome views on what matters the most to you when it comes to evaluating the public interest of a project.” </w:t>
      </w:r>
    </w:p>
    <w:p w:rsidR="00600931" w:rsidRDefault="00925D8D" w:rsidP="00600931">
      <w:r>
        <w:lastRenderedPageBreak/>
        <w:t>Importantly, the requirement to demonstrate public interest is not the only safeguard determining whether data should be shared for a particular project. The Project Principle also requires data scheme participants to consider the ethics of a project (see also section 3.2) and to seek consent from individuals unless unreasonable and impracticable (see also section 3.3). In addition, ensuring the security of the data being shared is a requirement of both the accreditation framework and the settings principle within the data sharing principles (see section 3.7).</w:t>
      </w:r>
    </w:p>
    <w:p w:rsidR="00714828" w:rsidRPr="00FB2CCA" w:rsidRDefault="00714828" w:rsidP="003874D4">
      <w:pPr>
        <w:pStyle w:val="Heading2"/>
        <w:numPr>
          <w:ilvl w:val="1"/>
          <w:numId w:val="1"/>
        </w:numPr>
      </w:pPr>
      <w:bookmarkStart w:id="187" w:name="_Toc49970782"/>
      <w:bookmarkStart w:id="188" w:name="_Toc50909452"/>
      <w:bookmarkStart w:id="189" w:name="_Toc49965685"/>
      <w:bookmarkStart w:id="190" w:name="_Toc49968345"/>
      <w:bookmarkStart w:id="191" w:name="_Toc47444563"/>
      <w:bookmarkStart w:id="192" w:name="_Toc47444564"/>
      <w:bookmarkEnd w:id="174"/>
      <w:r>
        <w:t xml:space="preserve">Projects must </w:t>
      </w:r>
      <w:r w:rsidR="008535A0">
        <w:t xml:space="preserve">observe applicable </w:t>
      </w:r>
      <w:r>
        <w:t>ethics processes</w:t>
      </w:r>
      <w:bookmarkEnd w:id="187"/>
      <w:bookmarkEnd w:id="188"/>
      <w:r>
        <w:t xml:space="preserve"> </w:t>
      </w:r>
      <w:bookmarkEnd w:id="189"/>
      <w:bookmarkEnd w:id="190"/>
      <w:bookmarkEnd w:id="191"/>
    </w:p>
    <w:p w:rsidR="00714828" w:rsidRPr="00FB2CCA" w:rsidRDefault="00FA2B89" w:rsidP="00714828">
      <w:r>
        <w:t xml:space="preserve">A consideration of </w:t>
      </w:r>
      <w:r w:rsidR="00A667A9">
        <w:t>the</w:t>
      </w:r>
      <w:r>
        <w:t xml:space="preserve"> ethics of a project plays an</w:t>
      </w:r>
      <w:r w:rsidR="00714828" w:rsidRPr="00FB2CCA">
        <w:t xml:space="preserve"> important role in </w:t>
      </w:r>
      <w:r>
        <w:t>determining</w:t>
      </w:r>
      <w:r w:rsidRPr="00FB2CCA">
        <w:t xml:space="preserve"> </w:t>
      </w:r>
      <w:r w:rsidR="00714828" w:rsidRPr="00FB2CCA">
        <w:t>the merits of a particular use of data</w:t>
      </w:r>
      <w:r>
        <w:t>. It also</w:t>
      </w:r>
      <w:r w:rsidR="00EC1CB6" w:rsidRPr="00FB2CCA">
        <w:t xml:space="preserve"> </w:t>
      </w:r>
      <w:r w:rsidR="00AC59B9">
        <w:t xml:space="preserve">evaluates </w:t>
      </w:r>
      <w:r w:rsidR="00714828" w:rsidRPr="00FB2CCA">
        <w:t xml:space="preserve">whether </w:t>
      </w:r>
      <w:r>
        <w:t>the project</w:t>
      </w:r>
      <w:r w:rsidRPr="00FB2CCA">
        <w:t xml:space="preserve"> </w:t>
      </w:r>
      <w:r w:rsidR="002930BA">
        <w:t xml:space="preserve">is in the public interest </w:t>
      </w:r>
      <w:r w:rsidR="00714828">
        <w:t xml:space="preserve">in </w:t>
      </w:r>
      <w:r w:rsidR="006A0FB9">
        <w:t xml:space="preserve">a </w:t>
      </w:r>
      <w:r w:rsidR="00714828">
        <w:t xml:space="preserve">way that balances </w:t>
      </w:r>
      <w:r w:rsidR="00CA0A16">
        <w:t xml:space="preserve">the </w:t>
      </w:r>
      <w:r w:rsidR="00714828">
        <w:t>interest</w:t>
      </w:r>
      <w:r w:rsidR="00917985">
        <w:t>s</w:t>
      </w:r>
      <w:r w:rsidR="00714828">
        <w:t xml:space="preserve"> of individuals and broader society and reduces potential impacts on vulnerable communities</w:t>
      </w:r>
      <w:r w:rsidR="00714828" w:rsidRPr="00FB2CCA">
        <w:t xml:space="preserve">. </w:t>
      </w:r>
    </w:p>
    <w:p w:rsidR="00360760" w:rsidRDefault="00421F0B" w:rsidP="00531778">
      <w:r>
        <w:t>Where an ethics process is currently mandated</w:t>
      </w:r>
      <w:r w:rsidR="004C0B5D">
        <w:t>,</w:t>
      </w:r>
      <w:r>
        <w:t xml:space="preserve"> that mandate will continue to apply to projects under this Bill. </w:t>
      </w:r>
      <w:r w:rsidR="00531778">
        <w:t xml:space="preserve">The </w:t>
      </w:r>
      <w:r w:rsidR="00917985">
        <w:t>P</w:t>
      </w:r>
      <w:r w:rsidR="00531778">
        <w:t>roject</w:t>
      </w:r>
      <w:r w:rsidR="00531778" w:rsidRPr="00E173E1">
        <w:t xml:space="preserve"> </w:t>
      </w:r>
      <w:r w:rsidR="00917985">
        <w:t>P</w:t>
      </w:r>
      <w:r w:rsidR="00531778" w:rsidRPr="00E173E1">
        <w:t>rinciple</w:t>
      </w:r>
      <w:r w:rsidR="00531778">
        <w:t xml:space="preserve"> requires that applicable processes relating to ethics are observed</w:t>
      </w:r>
      <w:r w:rsidR="00CF1C5A">
        <w:t xml:space="preserve"> and</w:t>
      </w:r>
      <w:r w:rsidR="00637C05">
        <w:t xml:space="preserve"> projects</w:t>
      </w:r>
      <w:r w:rsidR="00CF1C5A">
        <w:t xml:space="preserve"> </w:t>
      </w:r>
      <w:r w:rsidR="00BE729F">
        <w:t xml:space="preserve">have regard to </w:t>
      </w:r>
      <w:r w:rsidR="004C0B5D">
        <w:t>their</w:t>
      </w:r>
      <w:r w:rsidR="00BE729F">
        <w:t xml:space="preserve"> </w:t>
      </w:r>
      <w:r w:rsidR="00CF1C5A">
        <w:t>recommendations</w:t>
      </w:r>
      <w:r w:rsidR="00531778">
        <w:t xml:space="preserve">. This means sharing projects such as those involving human-centred data may need to undergo an </w:t>
      </w:r>
      <w:r w:rsidR="00531778" w:rsidRPr="00074830">
        <w:t xml:space="preserve">ethical </w:t>
      </w:r>
      <w:r w:rsidR="00531778">
        <w:t>review to identify and weigh up their risks and benefits. Such reviews facilitate mitigation or minimisation of the risk and severity of possible physical or psychological harm, discomfort</w:t>
      </w:r>
      <w:r w:rsidR="00EC085D">
        <w:t>,</w:t>
      </w:r>
      <w:r w:rsidR="00531778">
        <w:t xml:space="preserve"> or inconvenience to data subjects that may arise through data collection,</w:t>
      </w:r>
      <w:r>
        <w:t xml:space="preserve"> use,</w:t>
      </w:r>
      <w:r w:rsidR="00531778">
        <w:t xml:space="preserve"> analysis</w:t>
      </w:r>
      <w:r>
        <w:t>,</w:t>
      </w:r>
      <w:r w:rsidR="00531778">
        <w:t xml:space="preserve"> and publication. </w:t>
      </w:r>
    </w:p>
    <w:p w:rsidR="003D6394" w:rsidRDefault="00D35560" w:rsidP="00714828">
      <w:r>
        <w:t>Many</w:t>
      </w:r>
      <w:r w:rsidR="00531778" w:rsidRPr="00FB2CCA">
        <w:t xml:space="preserve"> research institutions have long</w:t>
      </w:r>
      <w:r w:rsidR="00531778">
        <w:t>-</w:t>
      </w:r>
      <w:r w:rsidR="00531778" w:rsidRPr="00FB2CCA">
        <w:t xml:space="preserve">established </w:t>
      </w:r>
      <w:r w:rsidR="00531778">
        <w:t xml:space="preserve">institutional </w:t>
      </w:r>
      <w:r w:rsidR="00531778" w:rsidRPr="00FB2CCA">
        <w:t>ethic</w:t>
      </w:r>
      <w:r w:rsidR="00531778">
        <w:t>s</w:t>
      </w:r>
      <w:r w:rsidR="00531778" w:rsidRPr="00FB2CCA">
        <w:t xml:space="preserve"> </w:t>
      </w:r>
      <w:r w:rsidR="00531778">
        <w:t>committees, processes</w:t>
      </w:r>
      <w:r w:rsidR="00EC085D">
        <w:t>,</w:t>
      </w:r>
      <w:r w:rsidR="00531778">
        <w:t xml:space="preserve"> and norms to help </w:t>
      </w:r>
      <w:r w:rsidR="00531778" w:rsidRPr="00FB2CCA">
        <w:t>provide this assurance</w:t>
      </w:r>
      <w:r w:rsidR="00531778">
        <w:t xml:space="preserve">. These </w:t>
      </w:r>
      <w:r w:rsidR="00531778" w:rsidRPr="00FB2CCA">
        <w:t xml:space="preserve">should continue to be leveraged </w:t>
      </w:r>
      <w:r w:rsidR="003D6394">
        <w:t xml:space="preserve">by data scheme participants </w:t>
      </w:r>
      <w:r w:rsidR="00531778" w:rsidRPr="00FB2CCA">
        <w:t>where possible.</w:t>
      </w:r>
      <w:r w:rsidR="00360760" w:rsidRPr="00360760">
        <w:t xml:space="preserve"> </w:t>
      </w:r>
      <w:r w:rsidR="00360760">
        <w:t>The applicable form of</w:t>
      </w:r>
      <w:r w:rsidR="00360760" w:rsidRPr="00654AE9">
        <w:t xml:space="preserve"> </w:t>
      </w:r>
      <w:r w:rsidR="00360760" w:rsidRPr="00074830">
        <w:t>ethic</w:t>
      </w:r>
      <w:r w:rsidR="003D6394">
        <w:t>s</w:t>
      </w:r>
      <w:r w:rsidR="00360760" w:rsidRPr="00074830">
        <w:t xml:space="preserve"> review</w:t>
      </w:r>
      <w:r w:rsidR="00360760">
        <w:t xml:space="preserve"> will depend on the kind of pro</w:t>
      </w:r>
      <w:r w:rsidR="003D6394">
        <w:t xml:space="preserve">ject. </w:t>
      </w:r>
      <w:r w:rsidR="00360760">
        <w:t xml:space="preserve">Some projects may be reviewed by data custodians </w:t>
      </w:r>
      <w:r w:rsidR="00000D4D">
        <w:t>themselves</w:t>
      </w:r>
      <w:r w:rsidR="00360760">
        <w:t>, while others may require formal review by a Human Research Ethics Committee (HREC) registered with the National Health and Medical Research Council (NHMRC).</w:t>
      </w:r>
      <w:r w:rsidR="00360760">
        <w:rPr>
          <w:rStyle w:val="FootnoteReference"/>
        </w:rPr>
        <w:footnoteReference w:id="24"/>
      </w:r>
      <w:r w:rsidR="00714828" w:rsidDel="006366DA">
        <w:t xml:space="preserve"> </w:t>
      </w:r>
    </w:p>
    <w:p w:rsidR="00DD7C89" w:rsidRDefault="00DD7C89" w:rsidP="00DD7C89">
      <w:r>
        <w:t>Before sharing data, data scheme entities should consider seeking independent advice on the ethical implications of the project and how to mitigate identified risks. Details of any ethics considerations and observed processes will be documented in the project’s data sharing agreement.</w:t>
      </w:r>
    </w:p>
    <w:p w:rsidR="00DD7C89" w:rsidRDefault="00DD7C89" w:rsidP="009571A4">
      <w:r>
        <w:lastRenderedPageBreak/>
        <w:t>The National Data Commissioner may provide further guidance on relevant ethics processes, or direct data custodians or users to seek advice from experts for projects with complex ethical considerations.</w:t>
      </w:r>
      <w:bookmarkStart w:id="193" w:name="_Toc49965686"/>
      <w:bookmarkStart w:id="194" w:name="_Toc49968346"/>
      <w:bookmarkStart w:id="195" w:name="_Toc49970783"/>
      <w:bookmarkStart w:id="196" w:name="_Toc47444565"/>
    </w:p>
    <w:p w:rsidR="000B06FF" w:rsidRPr="00FB2CCA" w:rsidRDefault="000B06FF" w:rsidP="000B06FF">
      <w:pPr>
        <w:pStyle w:val="Heading2"/>
        <w:numPr>
          <w:ilvl w:val="1"/>
          <w:numId w:val="1"/>
        </w:numPr>
      </w:pPr>
      <w:bookmarkStart w:id="197" w:name="_Toc50909453"/>
      <w:r>
        <w:t>C</w:t>
      </w:r>
      <w:r w:rsidRPr="00FB2CCA">
        <w:t>onsent is necessary unless it is unreasonable or impractica</w:t>
      </w:r>
      <w:r>
        <w:t>ble</w:t>
      </w:r>
      <w:r w:rsidRPr="00FB2CCA">
        <w:t xml:space="preserve"> to obtain</w:t>
      </w:r>
      <w:bookmarkEnd w:id="193"/>
      <w:bookmarkEnd w:id="194"/>
      <w:bookmarkEnd w:id="195"/>
      <w:bookmarkEnd w:id="197"/>
    </w:p>
    <w:p w:rsidR="00F62AC2" w:rsidRPr="009571A4" w:rsidRDefault="00283556" w:rsidP="000B06FF">
      <w:pPr>
        <w:rPr>
          <w:i/>
        </w:rPr>
      </w:pPr>
      <w:r>
        <w:t>The data reforms have been developed using a privacy by design approach, which has considered the role for con</w:t>
      </w:r>
      <w:r w:rsidR="00F62AC2">
        <w:t>sent</w:t>
      </w:r>
      <w:r>
        <w:t>. We have undertaken two independent privacy impact assessments, which have developed and support our approach to consent</w:t>
      </w:r>
      <w:r w:rsidR="00A438AC">
        <w:t xml:space="preserve"> (see </w:t>
      </w:r>
      <w:r w:rsidR="007671F3">
        <w:t>2020 Privacy Impact Assessment</w:t>
      </w:r>
      <w:r w:rsidR="00BC23DF">
        <w:t xml:space="preserve"> of the Bill</w:t>
      </w:r>
      <w:r w:rsidR="00A438AC">
        <w:t>, section 6.5)</w:t>
      </w:r>
      <w:r>
        <w:t xml:space="preserve">. Under the </w:t>
      </w:r>
      <w:r w:rsidR="008E4819">
        <w:t>P</w:t>
      </w:r>
      <w:r>
        <w:t xml:space="preserve">roject </w:t>
      </w:r>
      <w:r w:rsidR="008E4819">
        <w:t>P</w:t>
      </w:r>
      <w:r>
        <w:t xml:space="preserve">rinciple, </w:t>
      </w:r>
      <w:r w:rsidRPr="00D011D0">
        <w:t>any sharing of personal information</w:t>
      </w:r>
      <w:bookmarkStart w:id="198" w:name="BK_S3P19L7C64"/>
      <w:bookmarkStart w:id="199" w:name="BK_S3P19L7C45"/>
      <w:bookmarkStart w:id="200" w:name="BK_S3P17L7C45"/>
      <w:bookmarkStart w:id="201" w:name="BK_S3P18L13C45"/>
      <w:bookmarkEnd w:id="198"/>
      <w:bookmarkEnd w:id="199"/>
      <w:bookmarkEnd w:id="200"/>
      <w:bookmarkEnd w:id="201"/>
      <w:r w:rsidRPr="00D011D0">
        <w:t xml:space="preserve"> is done with the consent of the individuals, unless it is unreasonable or impractic</w:t>
      </w:r>
      <w:r>
        <w:t>able</w:t>
      </w:r>
      <w:r w:rsidRPr="00D011D0">
        <w:t xml:space="preserve"> to seek their consent</w:t>
      </w:r>
      <w:r>
        <w:t xml:space="preserve">. </w:t>
      </w:r>
      <w:r w:rsidR="00AB2552">
        <w:t xml:space="preserve">The consent standard of </w:t>
      </w:r>
      <w:r w:rsidR="009D7D14">
        <w:t>‘</w:t>
      </w:r>
      <w:r w:rsidR="00AB2552">
        <w:t xml:space="preserve">unless unreasonable and impracticable’ is modelled on the </w:t>
      </w:r>
      <w:r w:rsidR="00AB2552" w:rsidRPr="009571A4">
        <w:rPr>
          <w:i/>
        </w:rPr>
        <w:t>Privacy Act 1988</w:t>
      </w:r>
      <w:r w:rsidR="00AB2552">
        <w:rPr>
          <w:i/>
        </w:rPr>
        <w:t>.</w:t>
      </w:r>
    </w:p>
    <w:p w:rsidR="000B06FF" w:rsidRDefault="00AB2552" w:rsidP="000B06FF">
      <w:r>
        <w:t xml:space="preserve">We heard about </w:t>
      </w:r>
      <w:r w:rsidR="002A0007">
        <w:t xml:space="preserve">consent </w:t>
      </w:r>
      <w:r w:rsidR="000B06FF">
        <w:t xml:space="preserve">in </w:t>
      </w:r>
      <w:r>
        <w:t xml:space="preserve">public </w:t>
      </w:r>
      <w:r w:rsidR="000B06FF">
        <w:t>submissions</w:t>
      </w:r>
      <w:r w:rsidR="002A0007">
        <w:t xml:space="preserve"> </w:t>
      </w:r>
      <w:r>
        <w:t>on our Issues and Discussion Papers</w:t>
      </w:r>
      <w:r w:rsidR="002A0007">
        <w:t xml:space="preserve">, </w:t>
      </w:r>
      <w:r>
        <w:t xml:space="preserve">in </w:t>
      </w:r>
      <w:r w:rsidR="002A0007">
        <w:t>roundtable forums</w:t>
      </w:r>
      <w:r>
        <w:t xml:space="preserve"> held across Australia</w:t>
      </w:r>
      <w:r w:rsidR="000B06FF">
        <w:t xml:space="preserve">, </w:t>
      </w:r>
      <w:r>
        <w:t>from the</w:t>
      </w:r>
      <w:r w:rsidR="000B06FF">
        <w:t xml:space="preserve"> </w:t>
      </w:r>
      <w:r w:rsidR="002A0007">
        <w:t xml:space="preserve">public service, </w:t>
      </w:r>
      <w:r w:rsidR="000B06FF">
        <w:t xml:space="preserve">and </w:t>
      </w:r>
      <w:r w:rsidR="002A0007">
        <w:t xml:space="preserve">in </w:t>
      </w:r>
      <w:r w:rsidR="000B06FF">
        <w:t>conversations</w:t>
      </w:r>
      <w:r w:rsidR="002A0007">
        <w:t xml:space="preserve"> with stakeholders</w:t>
      </w:r>
      <w:r w:rsidR="000B06FF">
        <w:t xml:space="preserve">. </w:t>
      </w:r>
      <w:r>
        <w:t xml:space="preserve">Conversation ranged from </w:t>
      </w:r>
      <w:r w:rsidR="000B06FF">
        <w:t xml:space="preserve">the </w:t>
      </w:r>
      <w:r>
        <w:t xml:space="preserve">positive around the </w:t>
      </w:r>
      <w:r w:rsidR="000B06FF">
        <w:t xml:space="preserve">value of </w:t>
      </w:r>
      <w:r w:rsidR="000B06FF" w:rsidRPr="00FB2CCA">
        <w:t>consent in sharing and us</w:t>
      </w:r>
      <w:r w:rsidR="000B06FF">
        <w:t>ing</w:t>
      </w:r>
      <w:r w:rsidR="000B06FF" w:rsidRPr="00FB2CCA">
        <w:t xml:space="preserve"> public sector dat</w:t>
      </w:r>
      <w:r>
        <w:t>a; to caution that while</w:t>
      </w:r>
      <w:r w:rsidR="000B06FF" w:rsidRPr="00FB2CCA">
        <w:t xml:space="preserve"> </w:t>
      </w:r>
      <w:r w:rsidR="000B06FF">
        <w:t xml:space="preserve">consent </w:t>
      </w:r>
      <w:r>
        <w:t>can be used to</w:t>
      </w:r>
      <w:r w:rsidR="000B06FF">
        <w:t xml:space="preserve"> protect privacy</w:t>
      </w:r>
      <w:r>
        <w:t xml:space="preserve"> it </w:t>
      </w:r>
      <w:r w:rsidR="000B06FF">
        <w:t xml:space="preserve">should </w:t>
      </w:r>
      <w:r>
        <w:t>not be</w:t>
      </w:r>
      <w:r w:rsidR="000B06FF">
        <w:t xml:space="preserve"> applied </w:t>
      </w:r>
      <w:r>
        <w:t>as the only privacy protection; to the risks of inadequate consent being used instead of protecting privacy.</w:t>
      </w:r>
      <w:r w:rsidR="000B06FF">
        <w:t xml:space="preserve"> </w:t>
      </w:r>
      <w:r w:rsidR="0059742A">
        <w:t xml:space="preserve">We heard other concerns with consent, including that there are currently </w:t>
      </w:r>
      <w:r w:rsidR="000B06FF">
        <w:t>inconsisten</w:t>
      </w:r>
      <w:r w:rsidR="0059742A">
        <w:t>t</w:t>
      </w:r>
      <w:r w:rsidR="000B06FF">
        <w:t xml:space="preserve"> consent </w:t>
      </w:r>
      <w:r w:rsidR="00E020AA">
        <w:t xml:space="preserve">practices </w:t>
      </w:r>
      <w:r w:rsidR="000B06FF">
        <w:t>in Australia</w:t>
      </w:r>
      <w:r w:rsidR="0059742A">
        <w:t xml:space="preserve">, and </w:t>
      </w:r>
      <w:r w:rsidR="000B06FF">
        <w:t>requiring consent for all data sharing could lead to biased data that deliver</w:t>
      </w:r>
      <w:r w:rsidR="0059742A">
        <w:t>s</w:t>
      </w:r>
      <w:r w:rsidR="000B06FF">
        <w:t xml:space="preserve"> the wrong outcomes. </w:t>
      </w:r>
    </w:p>
    <w:p w:rsidR="002A0007" w:rsidRDefault="00485EBB" w:rsidP="000B06FF">
      <w:r>
        <w:t>As a result of these conversations and i</w:t>
      </w:r>
      <w:r w:rsidR="000B06FF">
        <w:t xml:space="preserve">n recognition of the important role consent plays in </w:t>
      </w:r>
      <w:r w:rsidR="002A0007">
        <w:t>g</w:t>
      </w:r>
      <w:r w:rsidR="000B06FF">
        <w:t xml:space="preserve">overnment data handling, the </w:t>
      </w:r>
      <w:r>
        <w:t xml:space="preserve">consent </w:t>
      </w:r>
      <w:r w:rsidR="000B06FF">
        <w:t>requirement</w:t>
      </w:r>
      <w:r>
        <w:t xml:space="preserve"> has been elevated into the Bill. In the Discussion Paper, we had proposed only having the requirement in guidance on the application of the data sharing principles. </w:t>
      </w:r>
    </w:p>
    <w:p w:rsidR="000B06FF" w:rsidRDefault="000B06FF" w:rsidP="000B06FF">
      <w:r>
        <w:t xml:space="preserve">For projects where data scheme entities do not seek consent, other safeguards outlined by the </w:t>
      </w:r>
      <w:r w:rsidRPr="00E173E1">
        <w:t>data sharing principle</w:t>
      </w:r>
      <w:r>
        <w:t xml:space="preserve">s can be dialled up to protect privacy. </w:t>
      </w:r>
      <w:r w:rsidR="00A438AC">
        <w:t>Other privacy</w:t>
      </w:r>
      <w:r w:rsidR="000F162F">
        <w:t>-</w:t>
      </w:r>
      <w:r w:rsidR="00A438AC">
        <w:t xml:space="preserve">enhancing measures include using de-identified data where possible and undertaking a privacy impact assessment as required under the Australian Government Agencies Privacy Code. </w:t>
      </w:r>
      <w:r>
        <w:t>Information about a project, whether the project requires consent and what other privacy safeguards have been adopted</w:t>
      </w:r>
      <w:r w:rsidR="00ED0AFF">
        <w:t>,</w:t>
      </w:r>
      <w:r>
        <w:t xml:space="preserve"> will be recorded</w:t>
      </w:r>
      <w:r w:rsidR="00E1054C">
        <w:t xml:space="preserve"> and published</w:t>
      </w:r>
      <w:r>
        <w:t xml:space="preserve"> in the </w:t>
      </w:r>
      <w:r w:rsidRPr="00E173E1">
        <w:t>data sharing agreement</w:t>
      </w:r>
      <w:r>
        <w:t xml:space="preserve">. </w:t>
      </w:r>
    </w:p>
    <w:p w:rsidR="000B06FF" w:rsidRDefault="000B06FF" w:rsidP="000B06FF">
      <w:r w:rsidRPr="00FB2CCA">
        <w:t xml:space="preserve">Anyone </w:t>
      </w:r>
      <w:r>
        <w:t>who suspects</w:t>
      </w:r>
      <w:r w:rsidRPr="00FB2CCA">
        <w:t xml:space="preserve"> misuse of </w:t>
      </w:r>
      <w:r>
        <w:t>their</w:t>
      </w:r>
      <w:r w:rsidRPr="00FB2CCA">
        <w:t xml:space="preserve"> personal data</w:t>
      </w:r>
      <w:r>
        <w:t xml:space="preserve"> or that a privacy breach has occurred</w:t>
      </w:r>
      <w:r w:rsidRPr="00FB2CCA">
        <w:t xml:space="preserve"> can make a complaint to the Privacy Commissioner</w:t>
      </w:r>
      <w:r>
        <w:t>.</w:t>
      </w:r>
      <w:r w:rsidRPr="00FB2CCA">
        <w:t xml:space="preserve"> </w:t>
      </w:r>
      <w:r>
        <w:t xml:space="preserve">The National Data Commissioner </w:t>
      </w:r>
      <w:r w:rsidR="009542A9">
        <w:t xml:space="preserve">could </w:t>
      </w:r>
      <w:r>
        <w:t>also launch their own investigations to address any systemic failures in the data sharing scheme or in applying safeguards to protect personal information.</w:t>
      </w:r>
    </w:p>
    <w:p w:rsidR="00BB0B4C" w:rsidRDefault="001C20FA" w:rsidP="00BB0B4C">
      <w:pPr>
        <w:pStyle w:val="Heading2"/>
        <w:numPr>
          <w:ilvl w:val="1"/>
          <w:numId w:val="1"/>
        </w:numPr>
        <w:spacing w:after="160" w:line="259" w:lineRule="auto"/>
      </w:pPr>
      <w:bookmarkStart w:id="202" w:name="_Toc49970784"/>
      <w:bookmarkStart w:id="203" w:name="_Toc50909454"/>
      <w:r>
        <w:lastRenderedPageBreak/>
        <w:t>Data provided to individuals for validation and control</w:t>
      </w:r>
      <w:bookmarkEnd w:id="202"/>
      <w:bookmarkEnd w:id="203"/>
      <w:r>
        <w:t xml:space="preserve"> </w:t>
      </w:r>
      <w:bookmarkStart w:id="204" w:name="_Toc49970062"/>
      <w:bookmarkStart w:id="205" w:name="_Toc49970785"/>
      <w:bookmarkEnd w:id="204"/>
      <w:bookmarkEnd w:id="205"/>
    </w:p>
    <w:p w:rsidR="003648E8" w:rsidRDefault="003648E8" w:rsidP="00AD7AFA">
      <w:pPr>
        <w:rPr>
          <w:rFonts w:cstheme="minorHAnsi"/>
        </w:rPr>
      </w:pPr>
      <w:r w:rsidRPr="003648E8">
        <w:rPr>
          <w:rFonts w:cstheme="minorHAnsi"/>
        </w:rPr>
        <w:t>In 2020, we have acutely felt the need for</w:t>
      </w:r>
      <w:r w:rsidR="000F162F">
        <w:rPr>
          <w:rFonts w:cstheme="minorHAnsi"/>
        </w:rPr>
        <w:t xml:space="preserve"> the</w:t>
      </w:r>
      <w:r w:rsidRPr="003648E8">
        <w:rPr>
          <w:rFonts w:cstheme="minorHAnsi"/>
        </w:rPr>
        <w:t xml:space="preserve"> Government to have access to up to date information to deliver timely and reliable services to people. The Bill enables </w:t>
      </w:r>
      <w:r>
        <w:rPr>
          <w:rFonts w:cstheme="minorHAnsi"/>
        </w:rPr>
        <w:t>government agencies</w:t>
      </w:r>
      <w:r w:rsidRPr="003648E8">
        <w:rPr>
          <w:rFonts w:cstheme="minorHAnsi"/>
        </w:rPr>
        <w:t xml:space="preserve"> to share data to inform service delivery, such as pre-filling forms.</w:t>
      </w:r>
      <w:r w:rsidR="007B4F30">
        <w:rPr>
          <w:rFonts w:cstheme="minorHAnsi"/>
        </w:rPr>
        <w:t xml:space="preserve"> In practice, this could mean that those affected by the </w:t>
      </w:r>
      <w:r w:rsidR="00AA5C46">
        <w:rPr>
          <w:rFonts w:cstheme="minorHAnsi"/>
        </w:rPr>
        <w:t>2019-</w:t>
      </w:r>
      <w:r w:rsidR="00917985">
        <w:rPr>
          <w:rFonts w:cstheme="minorHAnsi"/>
        </w:rPr>
        <w:t>20</w:t>
      </w:r>
      <w:r w:rsidR="00AA5C46">
        <w:rPr>
          <w:rFonts w:cstheme="minorHAnsi"/>
        </w:rPr>
        <w:t xml:space="preserve">20 </w:t>
      </w:r>
      <w:r w:rsidR="00917985">
        <w:rPr>
          <w:rFonts w:cstheme="minorHAnsi"/>
        </w:rPr>
        <w:t>b</w:t>
      </w:r>
      <w:r w:rsidR="007B4F30">
        <w:rPr>
          <w:rFonts w:cstheme="minorHAnsi"/>
        </w:rPr>
        <w:t>ushfire</w:t>
      </w:r>
      <w:r w:rsidR="00917985">
        <w:rPr>
          <w:rFonts w:cstheme="minorHAnsi"/>
        </w:rPr>
        <w:t xml:space="preserve"> </w:t>
      </w:r>
      <w:r w:rsidR="00AA5C46">
        <w:rPr>
          <w:rFonts w:cstheme="minorHAnsi"/>
        </w:rPr>
        <w:t>s</w:t>
      </w:r>
      <w:r w:rsidR="00917985">
        <w:rPr>
          <w:rFonts w:cstheme="minorHAnsi"/>
        </w:rPr>
        <w:t>eason</w:t>
      </w:r>
      <w:r w:rsidR="00AA5C46">
        <w:rPr>
          <w:rFonts w:cstheme="minorHAnsi"/>
        </w:rPr>
        <w:t xml:space="preserve"> and </w:t>
      </w:r>
      <w:r w:rsidR="007B4F30">
        <w:rPr>
          <w:rFonts w:cstheme="minorHAnsi"/>
        </w:rPr>
        <w:t xml:space="preserve">the </w:t>
      </w:r>
      <w:r w:rsidR="00917985">
        <w:rPr>
          <w:rFonts w:cstheme="minorHAnsi"/>
        </w:rPr>
        <w:t>COVID-19</w:t>
      </w:r>
      <w:r w:rsidR="007B4F30">
        <w:rPr>
          <w:rFonts w:cstheme="minorHAnsi"/>
        </w:rPr>
        <w:t xml:space="preserve"> pandemic </w:t>
      </w:r>
      <w:r w:rsidR="00AA5C46">
        <w:rPr>
          <w:rFonts w:cstheme="minorHAnsi"/>
        </w:rPr>
        <w:t>can</w:t>
      </w:r>
      <w:r w:rsidR="007B4F30">
        <w:rPr>
          <w:rFonts w:cstheme="minorHAnsi"/>
        </w:rPr>
        <w:t xml:space="preserve"> receive eligible government services quickly and easily in a time of need, without having them provide the same information many times over to</w:t>
      </w:r>
      <w:r w:rsidR="007E06A6">
        <w:rPr>
          <w:rFonts w:cstheme="minorHAnsi"/>
        </w:rPr>
        <w:t xml:space="preserve"> different</w:t>
      </w:r>
      <w:r w:rsidR="007B4F30">
        <w:rPr>
          <w:rFonts w:cstheme="minorHAnsi"/>
        </w:rPr>
        <w:t xml:space="preserve"> government agencies.</w:t>
      </w:r>
    </w:p>
    <w:p w:rsidR="007257ED" w:rsidRDefault="0015398B" w:rsidP="009571A4">
      <w:pPr>
        <w:rPr>
          <w:rFonts w:cstheme="minorHAnsi"/>
        </w:rPr>
      </w:pPr>
      <w:r>
        <w:t>The Bill allows accredited users to provide individuals and business</w:t>
      </w:r>
      <w:r w:rsidR="000F162F">
        <w:t>es</w:t>
      </w:r>
      <w:r>
        <w:t xml:space="preserve"> with data about themselves. The data custodian and the accredited user would need to agree to the sharing</w:t>
      </w:r>
      <w:r w:rsidRPr="0015398B">
        <w:t xml:space="preserve"> </w:t>
      </w:r>
      <w:r w:rsidRPr="005A2AD9">
        <w:t>in the data sharing agreement</w:t>
      </w:r>
      <w:r>
        <w:t>, and it</w:t>
      </w:r>
      <w:r w:rsidRPr="00527C35">
        <w:t xml:space="preserve"> must be consistent with the </w:t>
      </w:r>
      <w:r w:rsidR="00774D02">
        <w:t xml:space="preserve">permitted data sharing </w:t>
      </w:r>
      <w:r w:rsidRPr="00527C35">
        <w:t>purpose</w:t>
      </w:r>
      <w:r w:rsidR="00ED0AFF">
        <w:t>s</w:t>
      </w:r>
      <w:r w:rsidRPr="00527C35">
        <w:t xml:space="preserve"> and data sharing principles.</w:t>
      </w:r>
      <w:r>
        <w:t xml:space="preserve"> </w:t>
      </w:r>
      <w:r w:rsidR="003648E8">
        <w:rPr>
          <w:rFonts w:cstheme="minorHAnsi"/>
        </w:rPr>
        <w:t xml:space="preserve">Individuals </w:t>
      </w:r>
      <w:r>
        <w:t>and businesses</w:t>
      </w:r>
      <w:r w:rsidR="003648E8" w:rsidRPr="00D8058B">
        <w:t xml:space="preserve"> </w:t>
      </w:r>
      <w:r w:rsidR="003648E8">
        <w:rPr>
          <w:rFonts w:cstheme="minorHAnsi"/>
        </w:rPr>
        <w:t xml:space="preserve">receiving their own data </w:t>
      </w:r>
      <w:r>
        <w:t>do not need to be</w:t>
      </w:r>
      <w:r w:rsidR="003648E8">
        <w:rPr>
          <w:rFonts w:cstheme="minorHAnsi"/>
        </w:rPr>
        <w:t xml:space="preserve"> accredited by the National Data Commissioner. </w:t>
      </w:r>
      <w:r>
        <w:t>Once data has been provided to the individual or business, they are in control of their data and can provide it to who</w:t>
      </w:r>
      <w:r w:rsidR="000F162F">
        <w:t>m</w:t>
      </w:r>
      <w:r>
        <w:t>ever they choose to, outside of the Bill’s protections.</w:t>
      </w:r>
      <w:r w:rsidR="007257ED">
        <w:rPr>
          <w:rFonts w:cstheme="minorHAnsi"/>
        </w:rPr>
        <w:t xml:space="preserve"> </w:t>
      </w:r>
    </w:p>
    <w:p w:rsidR="0007175B" w:rsidRDefault="009A657B" w:rsidP="009571A4">
      <w:pPr>
        <w:spacing w:line="252" w:lineRule="auto"/>
        <w:rPr>
          <w:rFonts w:cstheme="minorHAnsi"/>
        </w:rPr>
      </w:pPr>
      <w:r>
        <w:rPr>
          <w:rFonts w:cstheme="minorHAnsi"/>
        </w:rPr>
        <w:t xml:space="preserve">By allowing participants to provide data to individuals and businesses, the Bill allows </w:t>
      </w:r>
      <w:r w:rsidR="000D66E3">
        <w:rPr>
          <w:rFonts w:cstheme="minorHAnsi"/>
        </w:rPr>
        <w:t xml:space="preserve">government </w:t>
      </w:r>
      <w:r w:rsidR="000D66E3" w:rsidRPr="0053034E">
        <w:rPr>
          <w:rFonts w:cstheme="minorHAnsi"/>
        </w:rPr>
        <w:t xml:space="preserve">agencies to check </w:t>
      </w:r>
      <w:r>
        <w:rPr>
          <w:rFonts w:cstheme="minorHAnsi"/>
        </w:rPr>
        <w:t>the</w:t>
      </w:r>
      <w:r w:rsidR="000D66E3" w:rsidRPr="0053034E">
        <w:rPr>
          <w:rFonts w:cstheme="minorHAnsi"/>
        </w:rPr>
        <w:t xml:space="preserve"> accura</w:t>
      </w:r>
      <w:r>
        <w:rPr>
          <w:rFonts w:cstheme="minorHAnsi"/>
        </w:rPr>
        <w:t>cy of data</w:t>
      </w:r>
      <w:r w:rsidR="000D66E3" w:rsidRPr="0053034E">
        <w:rPr>
          <w:rFonts w:cstheme="minorHAnsi"/>
        </w:rPr>
        <w:t xml:space="preserve">. </w:t>
      </w:r>
      <w:r>
        <w:rPr>
          <w:rFonts w:cstheme="minorHAnsi"/>
        </w:rPr>
        <w:t xml:space="preserve">In most cases, this sharing will likely occur to facilitate service delivery, such as pre-filling forms for individuals and businesses applying for government services. Individuals and businesses may choose to provide validated data to agencies for precluded purposes, such as assurance and compliance. This is similar to how the current myTax scheme operates: individuals are provided with prefilled information the ATO gathers from a range of sources, which the individual then checks and provides to the ATO to determine compliance with tax laws. </w:t>
      </w:r>
    </w:p>
    <w:p w:rsidR="00714828" w:rsidRDefault="00714828" w:rsidP="00BB0B4C">
      <w:pPr>
        <w:pStyle w:val="Heading2"/>
        <w:numPr>
          <w:ilvl w:val="1"/>
          <w:numId w:val="1"/>
        </w:numPr>
      </w:pPr>
      <w:bookmarkStart w:id="206" w:name="_Toc49965688"/>
      <w:bookmarkStart w:id="207" w:name="_Toc49968348"/>
      <w:bookmarkStart w:id="208" w:name="_Toc49970786"/>
      <w:bookmarkStart w:id="209" w:name="_Toc50909455"/>
      <w:r>
        <w:t>Protecting the rights and interests of Aboriginal and Torres Strait Islander peoples</w:t>
      </w:r>
      <w:bookmarkEnd w:id="206"/>
      <w:bookmarkEnd w:id="207"/>
      <w:bookmarkEnd w:id="208"/>
      <w:bookmarkEnd w:id="209"/>
    </w:p>
    <w:bookmarkEnd w:id="196"/>
    <w:p w:rsidR="00714828" w:rsidRDefault="00BA15EA" w:rsidP="00714828">
      <w:r>
        <w:t>We</w:t>
      </w:r>
      <w:r w:rsidR="00714828">
        <w:t xml:space="preserve"> heard </w:t>
      </w:r>
      <w:r w:rsidR="00CA0A16">
        <w:t xml:space="preserve">a range of views </w:t>
      </w:r>
      <w:r w:rsidR="00714828">
        <w:t>around greater sharing of data about Aboriginal and Torres Strait Islander peoples</w:t>
      </w:r>
      <w:r>
        <w:t xml:space="preserve"> throughout the development of the Bill</w:t>
      </w:r>
      <w:r w:rsidR="00714828">
        <w:t>.</w:t>
      </w:r>
      <w:r w:rsidR="006F1A23">
        <w:t xml:space="preserve"> Views expressed covered issues including</w:t>
      </w:r>
      <w:r w:rsidR="00714828" w:rsidDel="006F1A23">
        <w:t xml:space="preserve"> </w:t>
      </w:r>
      <w:r w:rsidR="006F1A23">
        <w:t xml:space="preserve">appropriate </w:t>
      </w:r>
      <w:r w:rsidR="00714828">
        <w:t>ethics processes, data sovereignty</w:t>
      </w:r>
      <w:r w:rsidR="000F162F">
        <w:t>,</w:t>
      </w:r>
      <w:r w:rsidR="006F1A23">
        <w:t xml:space="preserve"> and data governance,</w:t>
      </w:r>
      <w:r w:rsidR="00714828">
        <w:t xml:space="preserve"> and questions about who benefits from</w:t>
      </w:r>
      <w:r w:rsidR="000F162F">
        <w:t xml:space="preserve"> the</w:t>
      </w:r>
      <w:r w:rsidR="00714828">
        <w:t xml:space="preserve"> value created from data about </w:t>
      </w:r>
      <w:r w:rsidR="004D4D33">
        <w:t xml:space="preserve">Aboriginal </w:t>
      </w:r>
      <w:r w:rsidR="006F1A23">
        <w:t>and Torres Strait Islander</w:t>
      </w:r>
      <w:r w:rsidR="00714828">
        <w:t xml:space="preserve"> people</w:t>
      </w:r>
      <w:r w:rsidR="006F1A23">
        <w:t>s</w:t>
      </w:r>
      <w:r w:rsidR="00714828">
        <w:t xml:space="preserve"> and culture</w:t>
      </w:r>
      <w:r w:rsidR="006F1A23">
        <w:t>s</w:t>
      </w:r>
      <w:r w:rsidR="00714828">
        <w:t xml:space="preserve">. </w:t>
      </w:r>
      <w:r w:rsidR="006F1A23">
        <w:t>We also heard</w:t>
      </w:r>
      <w:r w:rsidR="00594EF0">
        <w:t xml:space="preserve"> views on obtaining consent</w:t>
      </w:r>
      <w:r w:rsidR="006F1A23">
        <w:t>, including questions of best practice and of obtaining free, prior</w:t>
      </w:r>
      <w:r w:rsidR="000F162F">
        <w:t>,</w:t>
      </w:r>
      <w:r w:rsidR="006F1A23">
        <w:t xml:space="preserve"> and informed consent (FPIC) under international human rights standards.</w:t>
      </w:r>
    </w:p>
    <w:p w:rsidR="00956AD2" w:rsidRDefault="00714828" w:rsidP="00714828">
      <w:r>
        <w:t xml:space="preserve">The </w:t>
      </w:r>
      <w:r w:rsidRPr="005150C7">
        <w:t>Bill</w:t>
      </w:r>
      <w:r>
        <w:t xml:space="preserve"> will support the data policies developed by the N</w:t>
      </w:r>
      <w:r w:rsidR="003910A0">
        <w:t xml:space="preserve">ational </w:t>
      </w:r>
      <w:r>
        <w:t>I</w:t>
      </w:r>
      <w:r w:rsidR="003910A0">
        <w:t xml:space="preserve">ndigenous </w:t>
      </w:r>
      <w:r>
        <w:t>A</w:t>
      </w:r>
      <w:r w:rsidR="003910A0">
        <w:t>ustralian</w:t>
      </w:r>
      <w:r w:rsidR="00956AD2">
        <w:t>s</w:t>
      </w:r>
      <w:r w:rsidR="003910A0">
        <w:t xml:space="preserve"> </w:t>
      </w:r>
      <w:r>
        <w:t>A</w:t>
      </w:r>
      <w:r w:rsidR="003910A0">
        <w:t>gency</w:t>
      </w:r>
      <w:r>
        <w:t xml:space="preserve"> and require users</w:t>
      </w:r>
      <w:r w:rsidR="000756FA">
        <w:t xml:space="preserve"> to</w:t>
      </w:r>
      <w:r>
        <w:t xml:space="preserve"> adhere to applicable policies and processes when sharing and using data about Aboriginal and Torres Strait Islander peoples. </w:t>
      </w:r>
      <w:r>
        <w:lastRenderedPageBreak/>
        <w:t>All relevant ethics processes under current arrangements</w:t>
      </w:r>
      <w:r w:rsidR="00A667A9">
        <w:t>,</w:t>
      </w:r>
      <w:r>
        <w:t xml:space="preserve"> such as the Australian Institute of Aboriginal and Torres Strait Islander Studies (AIATSIS) Code of Ethics – Guidelines for Ethical Research in Australian Indigenous Studies</w:t>
      </w:r>
      <w:r w:rsidR="00A667A9">
        <w:t>,</w:t>
      </w:r>
      <w:r>
        <w:t xml:space="preserve"> will continue to apply and will need to be considered under the Project Principle to demonstrate the public </w:t>
      </w:r>
      <w:r w:rsidR="002930BA">
        <w:t xml:space="preserve">interest </w:t>
      </w:r>
      <w:r>
        <w:t xml:space="preserve">of </w:t>
      </w:r>
      <w:r w:rsidR="00CE56CF">
        <w:t xml:space="preserve">a given </w:t>
      </w:r>
      <w:r>
        <w:t xml:space="preserve">project. Similarly, data custodians and users </w:t>
      </w:r>
      <w:r w:rsidR="00B207C7">
        <w:t xml:space="preserve">could </w:t>
      </w:r>
      <w:r>
        <w:t>apply the CARE Principles</w:t>
      </w:r>
      <w:r>
        <w:rPr>
          <w:rStyle w:val="FootnoteReference"/>
        </w:rPr>
        <w:footnoteReference w:id="25"/>
      </w:r>
      <w:r>
        <w:t xml:space="preserve"> when designing data governance systems as part of applying the safeguards under the Bill.</w:t>
      </w:r>
      <w:r w:rsidR="004D4D33">
        <w:t xml:space="preserve"> </w:t>
      </w:r>
    </w:p>
    <w:p w:rsidR="00714828" w:rsidRDefault="004D4D33" w:rsidP="00714828">
      <w:r>
        <w:t xml:space="preserve">Data custodians and users </w:t>
      </w:r>
      <w:r w:rsidR="009542A9">
        <w:t xml:space="preserve">can </w:t>
      </w:r>
      <w:r>
        <w:t>also seek direct advice on methodologies, governance</w:t>
      </w:r>
      <w:r w:rsidR="00173515">
        <w:t>,</w:t>
      </w:r>
      <w:r>
        <w:t xml:space="preserve"> and protocols for working with Aboriginal and Torres Strait Islander</w:t>
      </w:r>
      <w:r w:rsidR="0028450C">
        <w:t xml:space="preserve"> data</w:t>
      </w:r>
      <w:r>
        <w:t xml:space="preserve"> from a range of government and non-government entities. These </w:t>
      </w:r>
      <w:r w:rsidR="0028450C">
        <w:t xml:space="preserve">could </w:t>
      </w:r>
      <w:r>
        <w:t>include AIATSIS, the University of Melbourne’s Indigenous Data Network</w:t>
      </w:r>
      <w:r w:rsidR="0028450C">
        <w:t xml:space="preserve"> (IDN)</w:t>
      </w:r>
      <w:r>
        <w:t xml:space="preserve">, </w:t>
      </w:r>
      <w:r w:rsidR="0028450C">
        <w:t>the Aboriginal and Torres Strait Islander Data Archive (ATSIDA)</w:t>
      </w:r>
      <w:r w:rsidR="00A9398B">
        <w:t>,</w:t>
      </w:r>
      <w:r w:rsidR="0028450C">
        <w:t xml:space="preserve"> and Maiam nayri Wingara Aboriginal and Torres Strait Islander Data Sovereignty Collective. </w:t>
      </w:r>
    </w:p>
    <w:p w:rsidR="00714828" w:rsidRDefault="00714828" w:rsidP="00714828">
      <w:r>
        <w:t xml:space="preserve">Aboriginal and Torres Strait Islander peoples </w:t>
      </w:r>
      <w:r w:rsidR="00ED6250">
        <w:t xml:space="preserve">and organisations </w:t>
      </w:r>
      <w:r w:rsidR="00AC60CC">
        <w:t xml:space="preserve">could </w:t>
      </w:r>
      <w:r>
        <w:t>also benefit from using the Bill</w:t>
      </w:r>
      <w:r w:rsidR="00AC60CC">
        <w:t xml:space="preserve"> to</w:t>
      </w:r>
      <w:r w:rsidR="00052160">
        <w:t xml:space="preserve"> seek </w:t>
      </w:r>
      <w:r w:rsidR="00AC60CC">
        <w:t>access</w:t>
      </w:r>
      <w:r w:rsidR="00052160">
        <w:t xml:space="preserve"> to certain</w:t>
      </w:r>
      <w:r w:rsidR="00AC60CC">
        <w:t xml:space="preserve"> data</w:t>
      </w:r>
      <w:r>
        <w:t xml:space="preserve"> about their communit</w:t>
      </w:r>
      <w:r w:rsidR="00ED6250">
        <w:t>ies</w:t>
      </w:r>
      <w:r>
        <w:t xml:space="preserve"> and culture</w:t>
      </w:r>
      <w:r w:rsidR="00ED6250">
        <w:t>s, or provide specialised expertise on Aboriginal and Torres Strait Islander data to other accredited users</w:t>
      </w:r>
      <w:r w:rsidR="00C962A5" w:rsidDel="00ED6250">
        <w:t xml:space="preserve">. </w:t>
      </w:r>
      <w:r>
        <w:t>Having greater access to</w:t>
      </w:r>
      <w:r w:rsidR="00ED6250">
        <w:t xml:space="preserve"> their</w:t>
      </w:r>
      <w:r>
        <w:t xml:space="preserve"> data</w:t>
      </w:r>
      <w:r w:rsidR="00ED6250">
        <w:t xml:space="preserve"> and making their knowledge more available</w:t>
      </w:r>
      <w:r>
        <w:t xml:space="preserve"> can empower communities to drive better services, policies, program</w:t>
      </w:r>
      <w:r w:rsidR="00FA2B89">
        <w:t>s</w:t>
      </w:r>
      <w:r>
        <w:t>, and research for collective benefit.</w:t>
      </w:r>
    </w:p>
    <w:p w:rsidR="00714828" w:rsidRDefault="00714828" w:rsidP="003874D4">
      <w:pPr>
        <w:pStyle w:val="Heading2"/>
        <w:numPr>
          <w:ilvl w:val="1"/>
          <w:numId w:val="1"/>
        </w:numPr>
      </w:pPr>
      <w:bookmarkStart w:id="210" w:name="_Toc49965689"/>
      <w:bookmarkStart w:id="211" w:name="_Toc49968349"/>
      <w:bookmarkStart w:id="212" w:name="_Toc49970787"/>
      <w:bookmarkStart w:id="213" w:name="_Toc50909456"/>
      <w:r>
        <w:t xml:space="preserve">Data may be used for commercial </w:t>
      </w:r>
      <w:r w:rsidR="00AB3DCE">
        <w:t xml:space="preserve">applications </w:t>
      </w:r>
      <w:r>
        <w:t>whe</w:t>
      </w:r>
      <w:r w:rsidR="002930BA">
        <w:t xml:space="preserve">n it is in the </w:t>
      </w:r>
      <w:r>
        <w:t xml:space="preserve">public </w:t>
      </w:r>
      <w:r w:rsidR="002930BA">
        <w:t>interest</w:t>
      </w:r>
      <w:bookmarkEnd w:id="210"/>
      <w:bookmarkEnd w:id="211"/>
      <w:bookmarkEnd w:id="212"/>
      <w:bookmarkEnd w:id="213"/>
      <w:r w:rsidR="002930BA">
        <w:t xml:space="preserve">  </w:t>
      </w:r>
    </w:p>
    <w:p w:rsidR="00714828" w:rsidRPr="00D939FF" w:rsidRDefault="00BA15EA" w:rsidP="00714828">
      <w:r>
        <w:t>S</w:t>
      </w:r>
      <w:r w:rsidR="00714828">
        <w:t>takeholders recognise</w:t>
      </w:r>
      <w:r>
        <w:t>d</w:t>
      </w:r>
      <w:r w:rsidR="00714828">
        <w:t xml:space="preserve"> the potential of data sharing to benefit the public but also</w:t>
      </w:r>
      <w:r>
        <w:t xml:space="preserve"> raised</w:t>
      </w:r>
      <w:r w:rsidR="00714828">
        <w:t xml:space="preserve"> that there is a strong need for </w:t>
      </w:r>
      <w:r w:rsidR="00714828" w:rsidRPr="00247F6B">
        <w:t xml:space="preserve">oversight </w:t>
      </w:r>
      <w:r w:rsidR="00714828">
        <w:t xml:space="preserve">when data is shared for commercial </w:t>
      </w:r>
      <w:r w:rsidR="00D43EA8">
        <w:t>applications</w:t>
      </w:r>
      <w:r w:rsidR="00714828">
        <w:t xml:space="preserve">. A range of approaches to measuring and ensuring public </w:t>
      </w:r>
      <w:r w:rsidR="002930BA">
        <w:t xml:space="preserve">interest </w:t>
      </w:r>
      <w:r w:rsidR="00714828">
        <w:t>were considered, including formal ethic</w:t>
      </w:r>
      <w:r w:rsidR="00073603">
        <w:t>s</w:t>
      </w:r>
      <w:r w:rsidR="00714828">
        <w:t xml:space="preserve"> approvals and evidence of proper consideration of the risks and benefits of data sharing projects. This feedback shaped changes in our policy positions.</w:t>
      </w:r>
    </w:p>
    <w:p w:rsidR="00714828" w:rsidRDefault="00714828" w:rsidP="00714828">
      <w:r w:rsidRPr="00FB2CCA">
        <w:t xml:space="preserve">Data sharing </w:t>
      </w:r>
      <w:r>
        <w:t xml:space="preserve">can benefit the </w:t>
      </w:r>
      <w:r w:rsidRPr="00FB2CCA">
        <w:t xml:space="preserve">public when </w:t>
      </w:r>
      <w:r>
        <w:t xml:space="preserve">it is </w:t>
      </w:r>
      <w:r w:rsidRPr="00FB2CCA">
        <w:t xml:space="preserve">done safely and </w:t>
      </w:r>
      <w:r>
        <w:t>effectively</w:t>
      </w:r>
      <w:r w:rsidRPr="00FB2CCA">
        <w:t xml:space="preserve">, such as </w:t>
      </w:r>
      <w:r>
        <w:t>when</w:t>
      </w:r>
      <w:r w:rsidRPr="00FB2CCA">
        <w:t xml:space="preserve"> public sector data</w:t>
      </w:r>
      <w:r>
        <w:t xml:space="preserve"> is used</w:t>
      </w:r>
      <w:r w:rsidRPr="00FB2CCA">
        <w:t xml:space="preserve"> to support research</w:t>
      </w:r>
      <w:r>
        <w:t xml:space="preserve"> to create better products and services for the community</w:t>
      </w:r>
      <w:r w:rsidRPr="00FB2CCA" w:rsidDel="003406FB">
        <w:t>.</w:t>
      </w:r>
      <w:r w:rsidRPr="00FB2CCA">
        <w:t xml:space="preserve"> </w:t>
      </w:r>
      <w:r>
        <w:t xml:space="preserve">For example, </w:t>
      </w:r>
      <w:r w:rsidRPr="004B0673">
        <w:t xml:space="preserve">a research project to improve pharmaceutical treatments for heart disease </w:t>
      </w:r>
      <w:r w:rsidR="00EC3B14">
        <w:t>could</w:t>
      </w:r>
      <w:r w:rsidR="00EC3B14" w:rsidRPr="004B0673">
        <w:t xml:space="preserve"> </w:t>
      </w:r>
      <w:r w:rsidRPr="004B0673">
        <w:t>deliver both profit</w:t>
      </w:r>
      <w:r w:rsidR="00EE4951">
        <w:t>s</w:t>
      </w:r>
      <w:r w:rsidRPr="004B0673">
        <w:t xml:space="preserve"> for the researcher as well as a public health benefit</w:t>
      </w:r>
      <w:r>
        <w:t xml:space="preserve">. </w:t>
      </w:r>
    </w:p>
    <w:p w:rsidR="007E06A6" w:rsidRDefault="007E06A6" w:rsidP="007E06A6">
      <w:r>
        <w:t xml:space="preserve">The layers of safeguards will protect identified personal information from misuse, particularly where businesses may seek to profit from this data. This does not limit the benefits from using more aggregated data in a safe setting to deliver useful research that is in the public interest. Existing protections around direct marketing, and for competition and consumers, continue to apply. Any data </w:t>
      </w:r>
      <w:r>
        <w:lastRenderedPageBreak/>
        <w:t xml:space="preserve">shared under the Bill will also be subject to the standards set in the </w:t>
      </w:r>
      <w:r w:rsidRPr="001E078C">
        <w:rPr>
          <w:i/>
        </w:rPr>
        <w:t xml:space="preserve">Privacy Act 1988 </w:t>
      </w:r>
      <w:r>
        <w:t xml:space="preserve">and the </w:t>
      </w:r>
      <w:r w:rsidRPr="001E078C">
        <w:rPr>
          <w:i/>
        </w:rPr>
        <w:t>Australian Competition and Consumer Law</w:t>
      </w:r>
      <w:r>
        <w:t>.</w:t>
      </w:r>
    </w:p>
    <w:p w:rsidR="007E06A6" w:rsidRPr="001E078C" w:rsidRDefault="007E06A6" w:rsidP="001E078C">
      <w:pPr>
        <w:pStyle w:val="IntenseQuote"/>
      </w:pPr>
      <w:r>
        <w:t>“</w:t>
      </w:r>
      <w:r w:rsidRPr="001E078C">
        <w:t>The layers of safeguards will protect identified personal information from misuse, particularly where businesses may seek to profit from this data.</w:t>
      </w:r>
      <w:r>
        <w:t>”</w:t>
      </w:r>
    </w:p>
    <w:p w:rsidR="00714828" w:rsidRDefault="00714828" w:rsidP="00714828">
      <w:r w:rsidRPr="00D07C6F">
        <w:t xml:space="preserve">Where sharing has commercial applications, safeguards </w:t>
      </w:r>
      <w:r w:rsidR="00C3456D">
        <w:t xml:space="preserve">in the form of data sharing principles and transparency measures </w:t>
      </w:r>
      <w:r w:rsidRPr="00D07C6F">
        <w:t xml:space="preserve">embedded in the Bill </w:t>
      </w:r>
      <w:r w:rsidR="00DE082B">
        <w:t xml:space="preserve">work together to authorise </w:t>
      </w:r>
      <w:r w:rsidRPr="00D07C6F">
        <w:t xml:space="preserve">projects </w:t>
      </w:r>
      <w:r w:rsidR="00DE082B">
        <w:t xml:space="preserve">that </w:t>
      </w:r>
      <w:r w:rsidRPr="00D07C6F">
        <w:t>deliver</w:t>
      </w:r>
      <w:r w:rsidR="00DE082B">
        <w:t xml:space="preserve"> </w:t>
      </w:r>
      <w:r w:rsidRPr="00D07C6F">
        <w:t xml:space="preserve">public </w:t>
      </w:r>
      <w:r w:rsidR="002930BA">
        <w:t>interest, for example</w:t>
      </w:r>
      <w:r w:rsidR="00EE4951">
        <w:t xml:space="preserve">, </w:t>
      </w:r>
      <w:r w:rsidR="002930BA">
        <w:t>sharing of data results in research outputs that could develop life-saving drugs</w:t>
      </w:r>
      <w:r w:rsidRPr="00D07C6F">
        <w:t xml:space="preserve">. In particular, projects must be </w:t>
      </w:r>
      <w:r w:rsidR="009571A4" w:rsidRPr="00D07C6F">
        <w:t>for</w:t>
      </w:r>
      <w:r w:rsidR="009571A4">
        <w:t xml:space="preserve"> </w:t>
      </w:r>
      <w:r w:rsidR="009571A4" w:rsidRPr="00D07C6F">
        <w:t>permitted</w:t>
      </w:r>
      <w:r w:rsidR="008E4819" w:rsidRPr="00D07C6F">
        <w:t xml:space="preserve"> </w:t>
      </w:r>
      <w:r w:rsidR="008E4819">
        <w:t xml:space="preserve">data sharing </w:t>
      </w:r>
      <w:r w:rsidRPr="00D07C6F">
        <w:t>purpose</w:t>
      </w:r>
      <w:r w:rsidR="0065457F">
        <w:t>s</w:t>
      </w:r>
      <w:r w:rsidRPr="00D07C6F">
        <w:t xml:space="preserve">, and have controls applied under the data sharing principles to manage risks. Details of the project and its expected outputs and benefits, will be recorded in a public </w:t>
      </w:r>
      <w:r w:rsidR="00E173E1" w:rsidRPr="00E173E1">
        <w:t>data sharing agreement</w:t>
      </w:r>
      <w:r w:rsidRPr="00D07C6F">
        <w:t>.</w:t>
      </w:r>
      <w:r w:rsidR="0092112E">
        <w:t xml:space="preserve"> </w:t>
      </w:r>
      <w:r w:rsidR="009D49DC">
        <w:t xml:space="preserve">If the public interest of a data sharing project is not satisfied, the authorisation to share does not exist. </w:t>
      </w:r>
      <w:r w:rsidR="0092112E">
        <w:t>Section 3.1 describes the factors to consider when evaluating public interest.</w:t>
      </w:r>
      <w:r w:rsidR="009D49DC">
        <w:t xml:space="preserve"> </w:t>
      </w:r>
      <w:r w:rsidR="009F125E" w:rsidRPr="009F125E">
        <w:t xml:space="preserve">Guidance on applying the data sharing principles under the Bill will </w:t>
      </w:r>
      <w:r w:rsidR="00D90B53">
        <w:t>assist the data sharing scheme participants to demonstrate</w:t>
      </w:r>
      <w:r w:rsidR="00EE4951">
        <w:t xml:space="preserve"> the</w:t>
      </w:r>
      <w:r w:rsidR="00D90B53">
        <w:t xml:space="preserve"> </w:t>
      </w:r>
      <w:r w:rsidR="009D49DC">
        <w:t>public interest</w:t>
      </w:r>
      <w:r w:rsidR="00B7031E">
        <w:t xml:space="preserve"> of a project</w:t>
      </w:r>
      <w:r w:rsidR="00D90B53">
        <w:t>.</w:t>
      </w:r>
      <w:r w:rsidR="009D49DC">
        <w:t xml:space="preserve"> </w:t>
      </w:r>
    </w:p>
    <w:p w:rsidR="00714828" w:rsidRDefault="00714828" w:rsidP="00714828">
      <w:r w:rsidRPr="00A07B93">
        <w:t xml:space="preserve">Existing protections around direct marketing, and for competition and consumers, continue to apply. </w:t>
      </w:r>
      <w:r w:rsidRPr="00FB2CCA">
        <w:t xml:space="preserve">Any data shared under the Bill will also be subject to the standards set in the </w:t>
      </w:r>
      <w:r w:rsidRPr="00FB2CCA">
        <w:rPr>
          <w:i/>
        </w:rPr>
        <w:t>Privacy Act 1988</w:t>
      </w:r>
      <w:r w:rsidRPr="00FB2CCA">
        <w:t xml:space="preserve"> and the </w:t>
      </w:r>
      <w:r w:rsidRPr="00FB2CCA">
        <w:rPr>
          <w:i/>
        </w:rPr>
        <w:t>Australian Competition and Consumer Law</w:t>
      </w:r>
      <w:r w:rsidRPr="00FB2CCA">
        <w:t xml:space="preserve">. </w:t>
      </w:r>
      <w:r>
        <w:t>T</w:t>
      </w:r>
      <w:r w:rsidRPr="00FB2CCA">
        <w:t>he National Data Commissioner may also issue further guidance, directions or data codes</w:t>
      </w:r>
      <w:r w:rsidR="00EE4951">
        <w:t>,</w:t>
      </w:r>
      <w:r w:rsidRPr="00FB2CCA">
        <w:t xml:space="preserve"> to steer users to</w:t>
      </w:r>
      <w:r>
        <w:t>ward</w:t>
      </w:r>
      <w:r w:rsidRPr="00FB2CCA">
        <w:t xml:space="preserve"> appropriate uses.</w:t>
      </w:r>
    </w:p>
    <w:p w:rsidR="00BE384D" w:rsidRPr="00BE384D" w:rsidRDefault="00BE384D" w:rsidP="00BE384D">
      <w:pPr>
        <w:pStyle w:val="Heading2"/>
        <w:numPr>
          <w:ilvl w:val="1"/>
          <w:numId w:val="1"/>
        </w:numPr>
        <w:spacing w:after="160" w:line="259" w:lineRule="auto"/>
      </w:pPr>
      <w:bookmarkStart w:id="214" w:name="_Toc49965690"/>
      <w:bookmarkStart w:id="215" w:name="_Toc49968350"/>
      <w:bookmarkStart w:id="216" w:name="_Toc49970788"/>
      <w:bookmarkStart w:id="217" w:name="_Toc50909457"/>
      <w:bookmarkEnd w:id="192"/>
      <w:r>
        <w:t>Security of the data sharing scheme</w:t>
      </w:r>
      <w:bookmarkEnd w:id="214"/>
      <w:bookmarkEnd w:id="215"/>
      <w:bookmarkEnd w:id="216"/>
      <w:bookmarkEnd w:id="217"/>
    </w:p>
    <w:p w:rsidR="00C103CE" w:rsidRDefault="002C3458" w:rsidP="00C103CE">
      <w:r>
        <w:t>In the current data</w:t>
      </w:r>
      <w:r w:rsidR="00EE4951">
        <w:t>-</w:t>
      </w:r>
      <w:r>
        <w:t>driven society</w:t>
      </w:r>
      <w:r w:rsidR="00226929">
        <w:t xml:space="preserve">, there are genuine concerns </w:t>
      </w:r>
      <w:r w:rsidR="00EE4951">
        <w:t xml:space="preserve">about </w:t>
      </w:r>
      <w:r w:rsidR="00226929">
        <w:t xml:space="preserve">how the security of </w:t>
      </w:r>
      <w:r w:rsidR="0014703A">
        <w:t xml:space="preserve">the </w:t>
      </w:r>
      <w:r w:rsidR="00226929">
        <w:t>data sharing scheme will be maintained as technology evolves</w:t>
      </w:r>
      <w:r w:rsidR="001E744F">
        <w:t xml:space="preserve">. </w:t>
      </w:r>
      <w:r>
        <w:t>W</w:t>
      </w:r>
      <w:r w:rsidR="001E744F">
        <w:t>e are increasin</w:t>
      </w:r>
      <w:r>
        <w:t>gly reliant on digital services</w:t>
      </w:r>
      <w:r w:rsidR="0065457F">
        <w:t>,</w:t>
      </w:r>
      <w:r>
        <w:t xml:space="preserve"> and</w:t>
      </w:r>
      <w:r w:rsidR="001E744F">
        <w:t xml:space="preserve"> </w:t>
      </w:r>
      <w:r w:rsidR="00226929">
        <w:t>malicious actors</w:t>
      </w:r>
      <w:r w:rsidR="001E744F">
        <w:t xml:space="preserve"> can prey on data about individuals</w:t>
      </w:r>
      <w:r w:rsidR="00FF1F5C">
        <w:t xml:space="preserve"> and businesses</w:t>
      </w:r>
      <w:r w:rsidR="00846FD2">
        <w:t xml:space="preserve"> if it </w:t>
      </w:r>
      <w:r w:rsidR="00374D3E">
        <w:t xml:space="preserve">is </w:t>
      </w:r>
      <w:r w:rsidR="00846FD2">
        <w:t xml:space="preserve">not kept </w:t>
      </w:r>
      <w:r w:rsidR="00374D3E">
        <w:t>secure</w:t>
      </w:r>
      <w:r w:rsidR="001E744F">
        <w:t>. The loss of data through negligent sharing practices, or poor transparency of records about who shared data and for what reasons</w:t>
      </w:r>
      <w:r w:rsidR="0014703A">
        <w:t>,</w:t>
      </w:r>
      <w:r w:rsidR="00FF1F5C">
        <w:t xml:space="preserve"> further </w:t>
      </w:r>
      <w:r w:rsidR="001E744F">
        <w:t xml:space="preserve">erodes public trust in the </w:t>
      </w:r>
      <w:r w:rsidR="00956AD2">
        <w:t>G</w:t>
      </w:r>
      <w:r w:rsidR="001E744F">
        <w:t xml:space="preserve">overnment’s ability to keep data safe. </w:t>
      </w:r>
      <w:r>
        <w:t xml:space="preserve">Poor practices in </w:t>
      </w:r>
      <w:r w:rsidR="00F81D7C">
        <w:t xml:space="preserve">some </w:t>
      </w:r>
      <w:r>
        <w:t>non-government organisations, including universities, businesses</w:t>
      </w:r>
      <w:r w:rsidR="00EE4951">
        <w:t>,</w:t>
      </w:r>
      <w:r>
        <w:t xml:space="preserve"> and not-for-profit organisations, </w:t>
      </w:r>
      <w:r w:rsidR="00F81D7C">
        <w:t>could also erode this trust. W</w:t>
      </w:r>
      <w:r>
        <w:t>ithout appropriate oversight</w:t>
      </w:r>
      <w:r w:rsidR="0065457F">
        <w:t>,</w:t>
      </w:r>
      <w:r>
        <w:t xml:space="preserve"> data</w:t>
      </w:r>
      <w:r w:rsidR="00F81D7C">
        <w:t xml:space="preserve"> security</w:t>
      </w:r>
      <w:r>
        <w:t xml:space="preserve"> can be </w:t>
      </w:r>
      <w:r w:rsidR="00F81D7C">
        <w:t xml:space="preserve">neglected, </w:t>
      </w:r>
      <w:r>
        <w:t>misused</w:t>
      </w:r>
      <w:r w:rsidR="00F81D7C">
        <w:t>,</w:t>
      </w:r>
      <w:r>
        <w:t xml:space="preserve"> </w:t>
      </w:r>
      <w:r w:rsidR="00F81D7C">
        <w:t>or</w:t>
      </w:r>
      <w:r>
        <w:t xml:space="preserve"> mishandled.</w:t>
      </w:r>
    </w:p>
    <w:p w:rsidR="00170265" w:rsidRDefault="001E744F" w:rsidP="00C103CE">
      <w:r>
        <w:t>The Bill</w:t>
      </w:r>
      <w:r w:rsidR="00C336E4">
        <w:t>, while being technology</w:t>
      </w:r>
      <w:r w:rsidR="00EE4951">
        <w:t>-</w:t>
      </w:r>
      <w:r w:rsidR="00C336E4">
        <w:t>neutral, provides a pathway to ensure security is addressed to an appropriate standard</w:t>
      </w:r>
      <w:r w:rsidR="00846FD2">
        <w:t xml:space="preserve"> wh</w:t>
      </w:r>
      <w:r w:rsidR="00F81D7C">
        <w:t>en</w:t>
      </w:r>
      <w:r w:rsidR="00846FD2">
        <w:t xml:space="preserve"> sharing data</w:t>
      </w:r>
      <w:r w:rsidR="00C336E4">
        <w:t>.</w:t>
      </w:r>
      <w:r w:rsidR="00846FD2">
        <w:t xml:space="preserve"> </w:t>
      </w:r>
      <w:r w:rsidR="0065457F">
        <w:t>For entry</w:t>
      </w:r>
      <w:r w:rsidR="008B4250">
        <w:t xml:space="preserve"> to the data sharing scheme, participants need to be accredited. </w:t>
      </w:r>
      <w:r w:rsidR="00BE29BB">
        <w:t>There are three broad ac</w:t>
      </w:r>
      <w:r w:rsidR="00BE29BB">
        <w:lastRenderedPageBreak/>
        <w:t>creditation criteria established by the Bill that cover 1) governance and administrative frameworks, 2) security and privacy of data, and 3) technical skills and capability</w:t>
      </w:r>
      <w:r w:rsidR="008B4250">
        <w:t>. The accreditation rules (see Discussion Paper on accreditation framework)</w:t>
      </w:r>
      <w:r w:rsidR="00170265">
        <w:t xml:space="preserve"> will</w:t>
      </w:r>
      <w:r w:rsidR="00BE29BB">
        <w:t xml:space="preserve"> provide </w:t>
      </w:r>
      <w:r w:rsidR="008B4250">
        <w:t xml:space="preserve">the next layer of detail about specific thresholds and </w:t>
      </w:r>
      <w:r w:rsidR="0014703A">
        <w:t xml:space="preserve">requirements </w:t>
      </w:r>
      <w:r w:rsidR="008B4250">
        <w:t xml:space="preserve">that </w:t>
      </w:r>
      <w:r w:rsidR="0014703A">
        <w:t xml:space="preserve">entities </w:t>
      </w:r>
      <w:r w:rsidR="008B4250">
        <w:t>must meet to participate in the scheme. As a legislated instrument these can be updated over time and quickly if needed to address a security threat.</w:t>
      </w:r>
    </w:p>
    <w:p w:rsidR="00170265" w:rsidRDefault="00170265" w:rsidP="00170265">
      <w:r>
        <w:t>The data sharing principles embed another layer of defence to protect data</w:t>
      </w:r>
      <w:r w:rsidR="0065457F">
        <w:t>,</w:t>
      </w:r>
      <w:r>
        <w:t xml:space="preserve"> includ</w:t>
      </w:r>
      <w:r w:rsidR="0065457F">
        <w:t>ing</w:t>
      </w:r>
      <w:r>
        <w:t xml:space="preserve"> the </w:t>
      </w:r>
      <w:r w:rsidR="008E4819">
        <w:t>S</w:t>
      </w:r>
      <w:r>
        <w:t>etting</w:t>
      </w:r>
      <w:r w:rsidR="00F81D7C">
        <w:t>s</w:t>
      </w:r>
      <w:r>
        <w:t xml:space="preserve"> </w:t>
      </w:r>
      <w:r w:rsidR="008E4819">
        <w:t>Principle</w:t>
      </w:r>
      <w:r>
        <w:t xml:space="preserve">. The </w:t>
      </w:r>
      <w:r w:rsidR="008E4819">
        <w:t xml:space="preserve">Settings Principle </w:t>
      </w:r>
      <w:r>
        <w:t xml:space="preserve">considers whether all parties have taken reasonable steps to ensure data will be used in an appropriately safe and secure environment, i.e. one that minimises </w:t>
      </w:r>
      <w:r w:rsidR="008D17F7">
        <w:t xml:space="preserve">the likelihood of </w:t>
      </w:r>
      <w:r>
        <w:t>unauthorised use, access</w:t>
      </w:r>
      <w:r w:rsidR="00EE4951">
        <w:t>,</w:t>
      </w:r>
      <w:r>
        <w:t xml:space="preserve"> or loss of data. Data custodians need to consider the practical controls, in both physical and IT </w:t>
      </w:r>
      <w:r w:rsidR="009571A4">
        <w:t>environments that</w:t>
      </w:r>
      <w:r>
        <w:t xml:space="preserve"> can be put in place to control how data is stored, transferred</w:t>
      </w:r>
      <w:r w:rsidR="00EE4951">
        <w:t>,</w:t>
      </w:r>
      <w:r>
        <w:t xml:space="preserve"> and accessed. Controls will depend on whether the </w:t>
      </w:r>
      <w:r w:rsidR="008D17F7">
        <w:t xml:space="preserve">entity </w:t>
      </w:r>
      <w:r>
        <w:t>will be provided access to the data (for example, via a web service, secure facility</w:t>
      </w:r>
      <w:r w:rsidR="00EE4951">
        <w:t>,</w:t>
      </w:r>
      <w:r>
        <w:t xml:space="preserve"> or API) or be given the data itself (for example, by download or physical media).</w:t>
      </w:r>
      <w:r>
        <w:rPr>
          <w:rStyle w:val="FootnoteReference"/>
        </w:rPr>
        <w:footnoteReference w:id="26"/>
      </w:r>
    </w:p>
    <w:p w:rsidR="00846FD2" w:rsidRDefault="00846FD2" w:rsidP="00170265">
      <w:r>
        <w:t xml:space="preserve">Above are also reasons for </w:t>
      </w:r>
      <w:r w:rsidR="00F81D7C">
        <w:t>data custodians</w:t>
      </w:r>
      <w:r>
        <w:t xml:space="preserve"> to consider </w:t>
      </w:r>
      <w:r w:rsidR="00F81D7C">
        <w:t xml:space="preserve">the </w:t>
      </w:r>
      <w:r>
        <w:t xml:space="preserve">use </w:t>
      </w:r>
      <w:r w:rsidR="00F81D7C">
        <w:t xml:space="preserve">of </w:t>
      </w:r>
      <w:r>
        <w:t xml:space="preserve">the data sharing scheme even if an authorisation to share </w:t>
      </w:r>
      <w:r w:rsidR="00F81D7C">
        <w:t xml:space="preserve">data </w:t>
      </w:r>
      <w:r>
        <w:t>is not needed. The consistent practices and streamline</w:t>
      </w:r>
      <w:r w:rsidR="00F81D7C">
        <w:t>d</w:t>
      </w:r>
      <w:r>
        <w:t xml:space="preserve"> framework provides a safe, secure, and trusted alternative to ways in which data is currently shared. </w:t>
      </w:r>
    </w:p>
    <w:p w:rsidR="0047198E" w:rsidRDefault="0047198E" w:rsidP="0047198E">
      <w:r>
        <w:t xml:space="preserve">To ensure the security of the scheme continues to receive strong attention, the Office of the National Data Commissioner is also working with other government agencies with expertise in security including those responsible for cybersecurity and national security. </w:t>
      </w:r>
    </w:p>
    <w:p w:rsidR="001E744F" w:rsidRDefault="001E744F" w:rsidP="00C103CE"/>
    <w:p w:rsidR="00C103CE" w:rsidRDefault="00C103CE">
      <w:pPr>
        <w:spacing w:after="160" w:line="259" w:lineRule="auto"/>
        <w:rPr>
          <w:b/>
        </w:rPr>
      </w:pPr>
    </w:p>
    <w:p w:rsidR="006A39F4" w:rsidRDefault="006A39F4">
      <w:pPr>
        <w:spacing w:after="160" w:line="259" w:lineRule="auto"/>
        <w:rPr>
          <w:b/>
        </w:rPr>
      </w:pPr>
      <w:r>
        <w:rPr>
          <w:b/>
        </w:rPr>
        <w:br w:type="page"/>
      </w:r>
    </w:p>
    <w:p w:rsidR="006A39F4" w:rsidRDefault="00F13BC7" w:rsidP="003874D4">
      <w:pPr>
        <w:pStyle w:val="Heading1"/>
        <w:numPr>
          <w:ilvl w:val="0"/>
          <w:numId w:val="1"/>
        </w:numPr>
      </w:pPr>
      <w:bookmarkStart w:id="218" w:name="_Toc49965691"/>
      <w:bookmarkStart w:id="219" w:name="_Toc49968351"/>
      <w:bookmarkStart w:id="220" w:name="_Toc49970789"/>
      <w:bookmarkStart w:id="221" w:name="_Toc50909458"/>
      <w:r>
        <w:lastRenderedPageBreak/>
        <w:t>C</w:t>
      </w:r>
      <w:r w:rsidR="006A39F4">
        <w:t>onclusion</w:t>
      </w:r>
      <w:r w:rsidR="00520D4B">
        <w:t xml:space="preserve"> and </w:t>
      </w:r>
      <w:r w:rsidR="00FA2B89">
        <w:t>n</w:t>
      </w:r>
      <w:r w:rsidR="00520D4B">
        <w:t xml:space="preserve">ext </w:t>
      </w:r>
      <w:r w:rsidR="00427AC6">
        <w:t>s</w:t>
      </w:r>
      <w:r w:rsidR="00520D4B">
        <w:t>teps</w:t>
      </w:r>
      <w:bookmarkEnd w:id="218"/>
      <w:bookmarkEnd w:id="219"/>
      <w:bookmarkEnd w:id="220"/>
      <w:bookmarkEnd w:id="221"/>
    </w:p>
    <w:p w:rsidR="00520D4B" w:rsidRDefault="00CE56CF" w:rsidP="00265628">
      <w:r>
        <w:t xml:space="preserve">Better sharing of public sector data can lead to </w:t>
      </w:r>
      <w:r w:rsidR="00F968A1">
        <w:t>improvements in</w:t>
      </w:r>
      <w:r>
        <w:t xml:space="preserve"> services</w:t>
      </w:r>
      <w:r w:rsidR="00FA2B89">
        <w:t>, policies</w:t>
      </w:r>
      <w:r w:rsidR="00F13BC7">
        <w:t>,</w:t>
      </w:r>
      <w:r w:rsidR="00FA2B89">
        <w:t xml:space="preserve"> and research</w:t>
      </w:r>
      <w:r w:rsidR="00F13BC7">
        <w:t xml:space="preserve"> outcomes. It can</w:t>
      </w:r>
      <w:r>
        <w:t xml:space="preserve"> transform everyday life, drive efficiency and safety, create productivity gains</w:t>
      </w:r>
      <w:r w:rsidR="00F13BC7">
        <w:t>,</w:t>
      </w:r>
      <w:r>
        <w:t xml:space="preserve"> and allow for better government decision making. </w:t>
      </w:r>
      <w:r w:rsidR="00F1025C">
        <w:t xml:space="preserve">Recent crises highlight the need to improve the availability of data across </w:t>
      </w:r>
      <w:r w:rsidR="00EF458F">
        <w:t xml:space="preserve">the </w:t>
      </w:r>
      <w:r w:rsidR="00F1025C">
        <w:t xml:space="preserve">government to improve government policy service delivery during crises. </w:t>
      </w:r>
      <w:r>
        <w:t xml:space="preserve">The </w:t>
      </w:r>
      <w:r w:rsidR="00956AD2">
        <w:t>Exposure Draft of the</w:t>
      </w:r>
      <w:r>
        <w:t xml:space="preserve"> </w:t>
      </w:r>
      <w:r w:rsidRPr="00265628">
        <w:t>Data Availability and Transparency Bill</w:t>
      </w:r>
      <w:r>
        <w:rPr>
          <w:i/>
        </w:rPr>
        <w:t xml:space="preserve"> </w:t>
      </w:r>
      <w:r w:rsidR="00956AD2">
        <w:t xml:space="preserve">2020 </w:t>
      </w:r>
      <w:r>
        <w:t>aims to</w:t>
      </w:r>
      <w:r w:rsidR="00520D4B">
        <w:t xml:space="preserve"> modernise and streamline how </w:t>
      </w:r>
      <w:r w:rsidR="00FA2B89">
        <w:t xml:space="preserve">public sector </w:t>
      </w:r>
      <w:r w:rsidR="00520D4B">
        <w:t>data is shared</w:t>
      </w:r>
      <w:r w:rsidR="00F13BC7">
        <w:t xml:space="preserve"> while maintaining strong protections to keep data safe. </w:t>
      </w:r>
    </w:p>
    <w:p w:rsidR="00520D4B" w:rsidRDefault="00520D4B" w:rsidP="00520D4B">
      <w:r>
        <w:t>We want to hear your views on the</w:t>
      </w:r>
      <w:r w:rsidR="00AC6A95">
        <w:t xml:space="preserve"> exposure drafts of the</w:t>
      </w:r>
      <w:r>
        <w:t xml:space="preserve"> Bill, Regulations</w:t>
      </w:r>
      <w:r w:rsidR="00F13BC7">
        <w:t>,</w:t>
      </w:r>
      <w:r>
        <w:t xml:space="preserve"> and the </w:t>
      </w:r>
      <w:r w:rsidR="00AC6A95">
        <w:t>a</w:t>
      </w:r>
      <w:r>
        <w:t xml:space="preserve">ccreditation </w:t>
      </w:r>
      <w:r w:rsidR="00AC6A95">
        <w:t>f</w:t>
      </w:r>
      <w:r>
        <w:t>ramework. Your feedback will help us ensure we buil</w:t>
      </w:r>
      <w:r w:rsidR="002F29ED">
        <w:t>d</w:t>
      </w:r>
      <w:r>
        <w:t xml:space="preserve"> a strong and workable </w:t>
      </w:r>
      <w:r w:rsidR="002F29ED">
        <w:t xml:space="preserve">scheme </w:t>
      </w:r>
      <w:r>
        <w:t>that will enable safe, controlled</w:t>
      </w:r>
      <w:r w:rsidR="00F13BC7">
        <w:t>,</w:t>
      </w:r>
      <w:r>
        <w:t xml:space="preserve"> </w:t>
      </w:r>
      <w:r w:rsidR="002F29ED">
        <w:t xml:space="preserve">accountable, </w:t>
      </w:r>
      <w:r>
        <w:t xml:space="preserve">and transparent data sharing. Head to our website, where you can register for a webinar for a further explanation of the Bill and </w:t>
      </w:r>
      <w:r w:rsidR="00AC6A95">
        <w:t>accreditation framework</w:t>
      </w:r>
      <w:r>
        <w:t>, or submit your feedback</w:t>
      </w:r>
      <w:r w:rsidR="00265628">
        <w:t>.</w:t>
      </w:r>
      <w:r>
        <w:rPr>
          <w:rStyle w:val="FootnoteReference"/>
        </w:rPr>
        <w:footnoteReference w:id="27"/>
      </w:r>
    </w:p>
    <w:p w:rsidR="00520D4B" w:rsidRDefault="00520D4B" w:rsidP="00520D4B">
      <w:r>
        <w:t xml:space="preserve">Following consultation, we will consider your feedback and make necessary amendments to </w:t>
      </w:r>
      <w:r w:rsidR="00265628">
        <w:t>the Bill</w:t>
      </w:r>
      <w:r>
        <w:t xml:space="preserve"> to make sure we get the reforms right</w:t>
      </w:r>
      <w:r w:rsidR="002F29ED">
        <w:t>. We will then provide the Bill to the Government for consideration and introduction to the Parliament</w:t>
      </w:r>
      <w:r>
        <w:t xml:space="preserve">. </w:t>
      </w:r>
    </w:p>
    <w:p w:rsidR="00A06BA7" w:rsidRDefault="00A06BA7" w:rsidP="00EE0622">
      <w:pPr>
        <w:pStyle w:val="Heading2"/>
        <w:numPr>
          <w:ilvl w:val="1"/>
          <w:numId w:val="1"/>
        </w:numPr>
        <w:spacing w:after="160" w:line="259" w:lineRule="auto"/>
      </w:pPr>
      <w:bookmarkStart w:id="222" w:name="_Toc49965692"/>
      <w:bookmarkStart w:id="223" w:name="_Toc49968352"/>
      <w:bookmarkStart w:id="224" w:name="_Toc49970790"/>
      <w:bookmarkStart w:id="225" w:name="_Toc50909459"/>
      <w:r>
        <w:t xml:space="preserve">Implementing the legislation through </w:t>
      </w:r>
      <w:r w:rsidR="00A26662">
        <w:t>G</w:t>
      </w:r>
      <w:r>
        <w:t>uidelines, guidance and operational systems</w:t>
      </w:r>
      <w:bookmarkEnd w:id="222"/>
      <w:bookmarkEnd w:id="223"/>
      <w:bookmarkEnd w:id="224"/>
      <w:bookmarkEnd w:id="225"/>
    </w:p>
    <w:p w:rsidR="00CF31E1" w:rsidRDefault="00CF31E1" w:rsidP="00520D4B">
      <w:r>
        <w:t xml:space="preserve">Our work doesn’t stop there. Alongside progressing the legislation, we have continued to work with government agencies to develop effective systems to support the implementation of the Bill. This includes developing training and guidance to help government agencies apply the </w:t>
      </w:r>
      <w:r w:rsidR="00F13BC7">
        <w:t>data sharing principles</w:t>
      </w:r>
      <w:r>
        <w:t xml:space="preserve">. </w:t>
      </w:r>
    </w:p>
    <w:p w:rsidR="00520D4B" w:rsidRDefault="00267ABA" w:rsidP="00520D4B">
      <w:r>
        <w:t xml:space="preserve">It will take time for the data </w:t>
      </w:r>
      <w:r w:rsidR="00654AE9">
        <w:t>sharing scheme</w:t>
      </w:r>
      <w:r>
        <w:t xml:space="preserve"> to mature and for </w:t>
      </w:r>
      <w:r w:rsidR="00654AE9">
        <w:t>participants</w:t>
      </w:r>
      <w:r>
        <w:t xml:space="preserve"> to confidently use the new </w:t>
      </w:r>
      <w:r w:rsidR="00654AE9">
        <w:t>scheme</w:t>
      </w:r>
      <w:r>
        <w:t>. To support this, w</w:t>
      </w:r>
      <w:r w:rsidR="00CF31E1">
        <w:t xml:space="preserve">e will continue to build the foundations and processes required for transparent and accountable public sector data sharing. </w:t>
      </w:r>
      <w:r w:rsidR="002F29ED">
        <w:t>We</w:t>
      </w:r>
      <w:r>
        <w:t xml:space="preserve"> remain committed to </w:t>
      </w:r>
      <w:r w:rsidR="00654AE9">
        <w:t xml:space="preserve">continuing to publicly engage as we </w:t>
      </w:r>
      <w:r>
        <w:t>moderni</w:t>
      </w:r>
      <w:r w:rsidR="00654AE9">
        <w:t>se</w:t>
      </w:r>
      <w:r>
        <w:t xml:space="preserve"> how public sector data is shared, and </w:t>
      </w:r>
      <w:r w:rsidR="00CF719C">
        <w:t xml:space="preserve">to </w:t>
      </w:r>
      <w:r w:rsidR="00A739FD">
        <w:t>maximising</w:t>
      </w:r>
      <w:r>
        <w:t xml:space="preserve"> </w:t>
      </w:r>
      <w:r w:rsidR="00654AE9">
        <w:t xml:space="preserve">its benefits </w:t>
      </w:r>
      <w:r>
        <w:t>for all Australians.</w:t>
      </w:r>
    </w:p>
    <w:p w:rsidR="00255BE0" w:rsidRDefault="00255BE0">
      <w:pPr>
        <w:spacing w:after="160" w:line="259" w:lineRule="auto"/>
      </w:pPr>
      <w:r>
        <w:br w:type="page"/>
      </w:r>
    </w:p>
    <w:p w:rsidR="005D4C04" w:rsidRPr="007500BA" w:rsidRDefault="007500BA" w:rsidP="001E078C">
      <w:pPr>
        <w:pStyle w:val="Heading1"/>
      </w:pPr>
      <w:bookmarkStart w:id="226" w:name="_Toc50909460"/>
      <w:r w:rsidRPr="007500BA">
        <w:lastRenderedPageBreak/>
        <w:t>Appendix A</w:t>
      </w:r>
      <w:bookmarkEnd w:id="226"/>
    </w:p>
    <w:p w:rsidR="007500BA" w:rsidRDefault="007500BA" w:rsidP="009C5D13">
      <w:pPr>
        <w:rPr>
          <w:b/>
        </w:rPr>
      </w:pPr>
      <w:r w:rsidRPr="007500BA">
        <w:rPr>
          <w:b/>
        </w:rPr>
        <w:t>Privacy Impact Assessment of t</w:t>
      </w:r>
      <w:r>
        <w:rPr>
          <w:b/>
        </w:rPr>
        <w:t xml:space="preserve">he Exposure Draft of the </w:t>
      </w:r>
      <w:r w:rsidRPr="005150C7">
        <w:rPr>
          <w:b/>
        </w:rPr>
        <w:t>Data Availability and Transparency Bill</w:t>
      </w:r>
    </w:p>
    <w:p w:rsidR="001F3932" w:rsidRDefault="00FD64C1" w:rsidP="001F3932">
      <w:pPr>
        <w:rPr>
          <w:strike/>
        </w:rPr>
      </w:pPr>
      <w:r>
        <w:t xml:space="preserve">The Department of the Prime Minister and Cabinet </w:t>
      </w:r>
      <w:r>
        <w:rPr>
          <w:sz w:val="20"/>
          <w:szCs w:val="20"/>
        </w:rPr>
        <w:t>(</w:t>
      </w:r>
      <w:r w:rsidRPr="68744618">
        <w:rPr>
          <w:sz w:val="20"/>
          <w:szCs w:val="20"/>
        </w:rPr>
        <w:t>PM</w:t>
      </w:r>
      <w:r>
        <w:rPr>
          <w:sz w:val="20"/>
          <w:szCs w:val="20"/>
        </w:rPr>
        <w:t>&amp;</w:t>
      </w:r>
      <w:r w:rsidRPr="68744618">
        <w:rPr>
          <w:sz w:val="20"/>
          <w:szCs w:val="20"/>
        </w:rPr>
        <w:t xml:space="preserve">C, or the Department) </w:t>
      </w:r>
      <w:r w:rsidR="001F3932">
        <w:t>engaged Information Integrity Solutions, led by former Australian Privacy Commissioner Malco</w:t>
      </w:r>
      <w:r w:rsidR="0067735C">
        <w:t>l</w:t>
      </w:r>
      <w:r w:rsidR="001F3932">
        <w:t xml:space="preserve">m Crompton, to undertake an independent Privacy Impact Assessment (PIA) </w:t>
      </w:r>
      <w:r>
        <w:t>o</w:t>
      </w:r>
      <w:r w:rsidR="001F3932">
        <w:t xml:space="preserve">n the Exposure Draft of the Bill. Taking an iterative privacy by design approach, this builds on the first independent PIA on the framework. In the PIA, </w:t>
      </w:r>
      <w:r>
        <w:t>Information Integrity Solutions</w:t>
      </w:r>
      <w:r w:rsidR="001F3932">
        <w:t xml:space="preserve"> support the ‘layers of defence’ in the Bill, including data minimisation and consent requirements, which have the potential to work together to identify and carefully manage privacy risks related to any data sharing project.</w:t>
      </w:r>
    </w:p>
    <w:p w:rsidR="00FD64C1" w:rsidRPr="00181CD0" w:rsidRDefault="00FD64C1" w:rsidP="00FD64C1">
      <w:pPr>
        <w:rPr>
          <w:b/>
        </w:rPr>
      </w:pPr>
      <w:r w:rsidRPr="00181CD0">
        <w:rPr>
          <w:b/>
        </w:rPr>
        <w:t>Department of the Prime Minister and Cabinet’s Response to</w:t>
      </w:r>
      <w:r>
        <w:rPr>
          <w:b/>
        </w:rPr>
        <w:t xml:space="preserve"> PIA</w:t>
      </w:r>
      <w:r w:rsidRPr="00181CD0">
        <w:rPr>
          <w:b/>
        </w:rPr>
        <w:t xml:space="preserve"> Recommendations </w:t>
      </w:r>
    </w:p>
    <w:p w:rsidR="00FD64C1" w:rsidRPr="00FA6B66" w:rsidRDefault="00FD64C1" w:rsidP="00FD64C1">
      <w:pPr>
        <w:rPr>
          <w:sz w:val="20"/>
          <w:szCs w:val="20"/>
        </w:rPr>
      </w:pPr>
      <w:r w:rsidRPr="68744618">
        <w:rPr>
          <w:sz w:val="20"/>
          <w:szCs w:val="20"/>
        </w:rPr>
        <w:t>The Department has made the following responses to the recommendations</w:t>
      </w:r>
      <w:r>
        <w:rPr>
          <w:sz w:val="20"/>
          <w:szCs w:val="20"/>
        </w:rPr>
        <w:t xml:space="preserve"> of Information Integrity Solutions (IIS) in their independent draft Privacy Impact Assessment (PIA) of the Exposure Draft of the Data Availability and Transparency Bill (the Bill)</w:t>
      </w:r>
      <w:r w:rsidRPr="68744618">
        <w:rPr>
          <w:sz w:val="20"/>
          <w:szCs w:val="20"/>
        </w:rPr>
        <w:t xml:space="preserve">, as at </w:t>
      </w:r>
      <w:r>
        <w:rPr>
          <w:color w:val="FF0000"/>
          <w:sz w:val="20"/>
          <w:szCs w:val="20"/>
        </w:rPr>
        <w:t>4 </w:t>
      </w:r>
      <w:r w:rsidRPr="00DE2163">
        <w:rPr>
          <w:color w:val="FF0000"/>
          <w:sz w:val="20"/>
          <w:szCs w:val="20"/>
        </w:rPr>
        <w:t>September 2020</w:t>
      </w:r>
      <w:r w:rsidRPr="68744618">
        <w:rPr>
          <w:sz w:val="20"/>
          <w:szCs w:val="20"/>
        </w:rPr>
        <w:t>.</w:t>
      </w:r>
      <w:r>
        <w:rPr>
          <w:sz w:val="20"/>
          <w:szCs w:val="20"/>
        </w:rPr>
        <w:t xml:space="preserve"> The PIA </w:t>
      </w:r>
      <w:r w:rsidR="004D02EF">
        <w:rPr>
          <w:sz w:val="20"/>
          <w:szCs w:val="20"/>
        </w:rPr>
        <w:t xml:space="preserve">is </w:t>
      </w:r>
      <w:r>
        <w:rPr>
          <w:sz w:val="20"/>
          <w:szCs w:val="20"/>
        </w:rPr>
        <w:t xml:space="preserve"> draft, to allow for update if the Bill is changed following Exposure Draft consultation.</w:t>
      </w:r>
      <w:r w:rsidR="004D02EF">
        <w:rPr>
          <w:sz w:val="20"/>
          <w:szCs w:val="20"/>
        </w:rPr>
        <w:t xml:space="preserve"> The Department will review its responses i</w:t>
      </w:r>
      <w:r w:rsidR="00F92CEB">
        <w:rPr>
          <w:sz w:val="20"/>
          <w:szCs w:val="20"/>
        </w:rPr>
        <w:t>f</w:t>
      </w:r>
      <w:r w:rsidR="004D02EF">
        <w:rPr>
          <w:sz w:val="20"/>
          <w:szCs w:val="20"/>
        </w:rPr>
        <w:t xml:space="preserve"> the recommendations change. </w:t>
      </w:r>
    </w:p>
    <w:tbl>
      <w:tblPr>
        <w:tblW w:w="92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66"/>
        <w:gridCol w:w="1885"/>
      </w:tblGrid>
      <w:tr w:rsidR="00FD64C1" w:rsidRPr="00FA6B66" w:rsidTr="00FD64C1">
        <w:trPr>
          <w:jc w:val="center"/>
        </w:trPr>
        <w:tc>
          <w:tcPr>
            <w:tcW w:w="7366" w:type="dxa"/>
            <w:tcBorders>
              <w:top w:val="single" w:sz="4" w:space="0" w:color="999999"/>
              <w:left w:val="single" w:sz="4" w:space="0" w:color="999999"/>
              <w:bottom w:val="single" w:sz="4" w:space="0" w:color="999999"/>
              <w:right w:val="single" w:sz="4" w:space="0" w:color="999999"/>
            </w:tcBorders>
            <w:shd w:val="clear" w:color="auto" w:fill="E0E0E0"/>
            <w:tcMar>
              <w:top w:w="99" w:type="dxa"/>
              <w:left w:w="99" w:type="dxa"/>
              <w:bottom w:w="99" w:type="dxa"/>
              <w:right w:w="99" w:type="dxa"/>
            </w:tcMar>
            <w:vAlign w:val="bottom"/>
          </w:tcPr>
          <w:p w:rsidR="00FD64C1" w:rsidRPr="00FA6B66" w:rsidRDefault="00FD64C1" w:rsidP="00FD64C1">
            <w:pPr>
              <w:keepNext/>
              <w:spacing w:after="0" w:line="273" w:lineRule="auto"/>
              <w:jc w:val="center"/>
              <w:rPr>
                <w:rFonts w:ascii="Arial" w:eastAsia="Arial" w:hAnsi="Arial" w:cs="Arial"/>
                <w:sz w:val="16"/>
                <w:szCs w:val="16"/>
              </w:rPr>
            </w:pPr>
            <w:r>
              <w:rPr>
                <w:rFonts w:ascii="Arial" w:eastAsia="Arial" w:hAnsi="Arial" w:cs="Arial"/>
                <w:b/>
                <w:sz w:val="16"/>
                <w:szCs w:val="16"/>
              </w:rPr>
              <w:t>IIS</w:t>
            </w:r>
            <w:r w:rsidRPr="00FA6B66">
              <w:rPr>
                <w:rFonts w:ascii="Arial" w:eastAsia="Arial" w:hAnsi="Arial" w:cs="Arial"/>
                <w:b/>
                <w:sz w:val="16"/>
                <w:szCs w:val="16"/>
              </w:rPr>
              <w:t xml:space="preserve"> Recommendation</w:t>
            </w:r>
          </w:p>
        </w:tc>
        <w:tc>
          <w:tcPr>
            <w:tcW w:w="1885" w:type="dxa"/>
            <w:tcBorders>
              <w:top w:val="single" w:sz="4" w:space="0" w:color="999999"/>
              <w:left w:val="single" w:sz="4" w:space="0" w:color="999999"/>
              <w:bottom w:val="single" w:sz="4" w:space="0" w:color="999999"/>
              <w:right w:val="single" w:sz="4" w:space="0" w:color="999999"/>
            </w:tcBorders>
            <w:shd w:val="clear" w:color="auto" w:fill="E0E0E0"/>
            <w:tcMar>
              <w:top w:w="99" w:type="dxa"/>
              <w:left w:w="99" w:type="dxa"/>
              <w:bottom w:w="99" w:type="dxa"/>
              <w:right w:w="99" w:type="dxa"/>
            </w:tcMar>
            <w:vAlign w:val="bottom"/>
          </w:tcPr>
          <w:p w:rsidR="00FD64C1" w:rsidRPr="00FA6B66" w:rsidRDefault="00FD64C1" w:rsidP="00FD64C1">
            <w:pPr>
              <w:keepNext/>
              <w:spacing w:after="0" w:line="273" w:lineRule="auto"/>
              <w:jc w:val="center"/>
              <w:rPr>
                <w:rFonts w:ascii="Arial" w:eastAsia="Arial" w:hAnsi="Arial" w:cs="Arial"/>
                <w:sz w:val="16"/>
                <w:szCs w:val="16"/>
              </w:rPr>
            </w:pPr>
            <w:r>
              <w:rPr>
                <w:rFonts w:ascii="Arial" w:eastAsia="Arial" w:hAnsi="Arial" w:cs="Arial"/>
                <w:b/>
                <w:sz w:val="16"/>
                <w:szCs w:val="16"/>
              </w:rPr>
              <w:t>PM&amp;C</w:t>
            </w:r>
            <w:r w:rsidRPr="00FA6B66">
              <w:rPr>
                <w:rFonts w:ascii="Arial" w:eastAsia="Arial" w:hAnsi="Arial" w:cs="Arial"/>
                <w:b/>
                <w:sz w:val="16"/>
                <w:szCs w:val="16"/>
              </w:rPr>
              <w:t xml:space="preserve"> Response</w:t>
            </w:r>
          </w:p>
        </w:tc>
      </w:tr>
      <w:tr w:rsidR="00FD64C1" w:rsidRPr="00FA6B66" w:rsidTr="00FD64C1">
        <w:trPr>
          <w:jc w:val="center"/>
        </w:trPr>
        <w:tc>
          <w:tcPr>
            <w:tcW w:w="7366" w:type="dxa"/>
            <w:tcBorders>
              <w:top w:val="single" w:sz="4" w:space="0" w:color="999999"/>
              <w:left w:val="single" w:sz="4" w:space="0" w:color="999999"/>
              <w:bottom w:val="single" w:sz="4" w:space="0" w:color="999999"/>
              <w:right w:val="single" w:sz="4" w:space="0" w:color="999999"/>
            </w:tcBorders>
            <w:shd w:val="clear" w:color="auto" w:fill="F3F3F3"/>
            <w:tcMar>
              <w:top w:w="99" w:type="dxa"/>
              <w:left w:w="99" w:type="dxa"/>
              <w:bottom w:w="99" w:type="dxa"/>
              <w:right w:w="99" w:type="dxa"/>
            </w:tcMar>
          </w:tcPr>
          <w:p w:rsidR="00FD64C1" w:rsidRPr="00FA6B66" w:rsidRDefault="00FD64C1" w:rsidP="00FD64C1">
            <w:pPr>
              <w:spacing w:line="273" w:lineRule="auto"/>
              <w:rPr>
                <w:rFonts w:ascii="Arial" w:eastAsia="Arial" w:hAnsi="Arial" w:cs="Arial"/>
                <w:sz w:val="16"/>
                <w:szCs w:val="16"/>
              </w:rPr>
            </w:pPr>
            <w:r w:rsidRPr="00FA6B66">
              <w:rPr>
                <w:rFonts w:ascii="Arial" w:eastAsia="Arial" w:hAnsi="Arial" w:cs="Arial"/>
                <w:b/>
                <w:sz w:val="16"/>
                <w:szCs w:val="16"/>
              </w:rPr>
              <w:t>Recommendation 1:</w:t>
            </w:r>
            <w:r w:rsidRPr="00FA6B66">
              <w:rPr>
                <w:rFonts w:ascii="Arial" w:eastAsia="Arial" w:hAnsi="Arial" w:cs="Arial"/>
                <w:sz w:val="16"/>
                <w:szCs w:val="16"/>
              </w:rPr>
              <w:t xml:space="preserve"> </w:t>
            </w:r>
            <w:r w:rsidRPr="00476EEF">
              <w:rPr>
                <w:rFonts w:ascii="Arial" w:eastAsia="Arial" w:hAnsi="Arial" w:cs="Arial"/>
                <w:sz w:val="16"/>
                <w:szCs w:val="16"/>
              </w:rPr>
              <w:t>Align accreditation requirements with A</w:t>
            </w:r>
            <w:r>
              <w:rPr>
                <w:rFonts w:ascii="Arial" w:eastAsia="Arial" w:hAnsi="Arial" w:cs="Arial"/>
                <w:sz w:val="16"/>
                <w:szCs w:val="16"/>
              </w:rPr>
              <w:t xml:space="preserve">ustralian </w:t>
            </w:r>
            <w:r w:rsidRPr="00476EEF">
              <w:rPr>
                <w:rFonts w:ascii="Arial" w:eastAsia="Arial" w:hAnsi="Arial" w:cs="Arial"/>
                <w:sz w:val="16"/>
                <w:szCs w:val="16"/>
              </w:rPr>
              <w:t>P</w:t>
            </w:r>
            <w:r>
              <w:rPr>
                <w:rFonts w:ascii="Arial" w:eastAsia="Arial" w:hAnsi="Arial" w:cs="Arial"/>
                <w:sz w:val="16"/>
                <w:szCs w:val="16"/>
              </w:rPr>
              <w:t xml:space="preserve">rivacy </w:t>
            </w:r>
            <w:r w:rsidRPr="00476EEF">
              <w:rPr>
                <w:rFonts w:ascii="Arial" w:eastAsia="Arial" w:hAnsi="Arial" w:cs="Arial"/>
                <w:sz w:val="16"/>
                <w:szCs w:val="16"/>
              </w:rPr>
              <w:t>P</w:t>
            </w:r>
            <w:r>
              <w:rPr>
                <w:rFonts w:ascii="Arial" w:eastAsia="Arial" w:hAnsi="Arial" w:cs="Arial"/>
                <w:sz w:val="16"/>
                <w:szCs w:val="16"/>
              </w:rPr>
              <w:t>rinciple (APP)</w:t>
            </w:r>
            <w:r w:rsidRPr="00476EEF">
              <w:rPr>
                <w:rFonts w:ascii="Arial" w:eastAsia="Arial" w:hAnsi="Arial" w:cs="Arial"/>
                <w:sz w:val="16"/>
                <w:szCs w:val="16"/>
              </w:rPr>
              <w:t xml:space="preserve"> 1 and give regard to </w:t>
            </w:r>
            <w:r>
              <w:rPr>
                <w:rFonts w:ascii="Arial" w:eastAsia="Arial" w:hAnsi="Arial" w:cs="Arial"/>
                <w:sz w:val="16"/>
                <w:szCs w:val="16"/>
              </w:rPr>
              <w:t>Office of the Australian Information Commissioner (</w:t>
            </w:r>
            <w:r w:rsidRPr="00476EEF">
              <w:rPr>
                <w:rFonts w:ascii="Arial" w:eastAsia="Arial" w:hAnsi="Arial" w:cs="Arial"/>
                <w:sz w:val="16"/>
                <w:szCs w:val="16"/>
              </w:rPr>
              <w:t>OAIC</w:t>
            </w:r>
            <w:r>
              <w:rPr>
                <w:rFonts w:ascii="Arial" w:eastAsia="Arial" w:hAnsi="Arial" w:cs="Arial"/>
                <w:sz w:val="16"/>
                <w:szCs w:val="16"/>
              </w:rPr>
              <w:t>)</w:t>
            </w:r>
            <w:r w:rsidRPr="00476EEF">
              <w:rPr>
                <w:rFonts w:ascii="Arial" w:eastAsia="Arial" w:hAnsi="Arial" w:cs="Arial"/>
                <w:sz w:val="16"/>
                <w:szCs w:val="16"/>
              </w:rPr>
              <w:t xml:space="preserve"> advice on privacy governance and management</w:t>
            </w:r>
            <w:r>
              <w:rPr>
                <w:rFonts w:ascii="Arial" w:eastAsia="Arial" w:hAnsi="Arial" w:cs="Arial"/>
                <w:sz w:val="16"/>
                <w:szCs w:val="16"/>
              </w:rPr>
              <w:t>.</w:t>
            </w:r>
          </w:p>
          <w:p w:rsidR="00FD64C1" w:rsidRPr="00FA6B66" w:rsidRDefault="00FD64C1" w:rsidP="00FD64C1">
            <w:pPr>
              <w:spacing w:after="0" w:line="273" w:lineRule="auto"/>
              <w:rPr>
                <w:rFonts w:ascii="Arial" w:eastAsia="Arial" w:hAnsi="Arial" w:cs="Arial"/>
                <w:sz w:val="16"/>
                <w:szCs w:val="16"/>
              </w:rPr>
            </w:pPr>
            <w:r w:rsidRPr="00476EEF">
              <w:rPr>
                <w:rFonts w:ascii="Arial" w:eastAsia="Arial" w:hAnsi="Arial" w:cs="Arial"/>
                <w:sz w:val="16"/>
                <w:szCs w:val="16"/>
              </w:rPr>
              <w:t>Align accreditation framework requirements with</w:t>
            </w:r>
            <w:r>
              <w:rPr>
                <w:rFonts w:ascii="Arial" w:eastAsia="Arial" w:hAnsi="Arial" w:cs="Arial"/>
                <w:sz w:val="16"/>
                <w:szCs w:val="16"/>
              </w:rPr>
              <w:t xml:space="preserve"> </w:t>
            </w:r>
            <w:r>
              <w:rPr>
                <w:rFonts w:ascii="Arial" w:eastAsia="Arial" w:hAnsi="Arial" w:cs="Arial"/>
                <w:i/>
                <w:sz w:val="16"/>
                <w:szCs w:val="16"/>
              </w:rPr>
              <w:t>Privacy Act 1988</w:t>
            </w:r>
            <w:r w:rsidRPr="00476EEF">
              <w:rPr>
                <w:rFonts w:ascii="Arial" w:eastAsia="Arial" w:hAnsi="Arial" w:cs="Arial"/>
                <w:sz w:val="16"/>
                <w:szCs w:val="16"/>
              </w:rPr>
              <w:t xml:space="preserve"> </w:t>
            </w:r>
            <w:r>
              <w:rPr>
                <w:rFonts w:ascii="Arial" w:eastAsia="Arial" w:hAnsi="Arial" w:cs="Arial"/>
                <w:sz w:val="16"/>
                <w:szCs w:val="16"/>
              </w:rPr>
              <w:t>(</w:t>
            </w:r>
            <w:r w:rsidRPr="00476EEF">
              <w:rPr>
                <w:rFonts w:ascii="Arial" w:eastAsia="Arial" w:hAnsi="Arial" w:cs="Arial"/>
                <w:sz w:val="16"/>
                <w:szCs w:val="16"/>
              </w:rPr>
              <w:t>Privacy Act</w:t>
            </w:r>
            <w:r>
              <w:rPr>
                <w:rFonts w:ascii="Arial" w:eastAsia="Arial" w:hAnsi="Arial" w:cs="Arial"/>
                <w:sz w:val="16"/>
                <w:szCs w:val="16"/>
              </w:rPr>
              <w:t>)</w:t>
            </w:r>
            <w:r w:rsidRPr="00476EEF">
              <w:rPr>
                <w:rFonts w:ascii="Arial" w:eastAsia="Arial" w:hAnsi="Arial" w:cs="Arial"/>
                <w:sz w:val="16"/>
                <w:szCs w:val="16"/>
              </w:rPr>
              <w:t xml:space="preserve"> governance requirements (including under APP 1). To do this, consult the OAIC and give regard to OAIC advice on complying with APP 1, establishing good privacy governance and developing a privacy management plan. For example, the accreditation framework could require entities to have a privacy management plan in place that aligns with OAIC’s advice.</w:t>
            </w:r>
          </w:p>
        </w:tc>
        <w:tc>
          <w:tcPr>
            <w:tcW w:w="1885" w:type="dxa"/>
            <w:tcBorders>
              <w:top w:val="single" w:sz="4" w:space="0" w:color="999999"/>
              <w:left w:val="single" w:sz="4" w:space="0" w:color="999999"/>
              <w:bottom w:val="single" w:sz="4" w:space="0" w:color="999999"/>
              <w:right w:val="single" w:sz="4" w:space="0" w:color="999999"/>
            </w:tcBorders>
            <w:shd w:val="clear" w:color="auto" w:fill="auto"/>
            <w:tcMar>
              <w:top w:w="99" w:type="dxa"/>
              <w:left w:w="99" w:type="dxa"/>
              <w:bottom w:w="99" w:type="dxa"/>
              <w:right w:w="99" w:type="dxa"/>
            </w:tcMar>
          </w:tcPr>
          <w:p w:rsidR="00FD64C1" w:rsidRPr="00FA6B66" w:rsidRDefault="00FD64C1" w:rsidP="00FD64C1">
            <w:pPr>
              <w:spacing w:after="0" w:line="273" w:lineRule="auto"/>
              <w:jc w:val="center"/>
              <w:rPr>
                <w:rFonts w:ascii="Arial" w:eastAsia="Arial" w:hAnsi="Arial" w:cs="Arial"/>
                <w:b/>
                <w:sz w:val="16"/>
                <w:szCs w:val="16"/>
              </w:rPr>
            </w:pPr>
            <w:r w:rsidRPr="00FA6B66">
              <w:rPr>
                <w:rFonts w:ascii="Arial" w:eastAsia="Arial" w:hAnsi="Arial" w:cs="Arial"/>
                <w:b/>
                <w:sz w:val="16"/>
                <w:szCs w:val="16"/>
              </w:rPr>
              <w:t>Agree</w:t>
            </w:r>
          </w:p>
        </w:tc>
      </w:tr>
      <w:tr w:rsidR="00FD64C1" w:rsidRPr="00FA6B66" w:rsidTr="00FD64C1">
        <w:trPr>
          <w:jc w:val="center"/>
        </w:trPr>
        <w:tc>
          <w:tcPr>
            <w:tcW w:w="9251" w:type="dxa"/>
            <w:gridSpan w:val="2"/>
            <w:tcBorders>
              <w:top w:val="single" w:sz="4" w:space="0" w:color="999999"/>
              <w:left w:val="single" w:sz="4" w:space="0" w:color="999999"/>
              <w:bottom w:val="single" w:sz="4" w:space="0" w:color="999999"/>
              <w:right w:val="single" w:sz="4" w:space="0" w:color="999999"/>
            </w:tcBorders>
            <w:shd w:val="clear" w:color="auto" w:fill="auto"/>
            <w:tcMar>
              <w:top w:w="99" w:type="dxa"/>
              <w:left w:w="99" w:type="dxa"/>
              <w:bottom w:w="99" w:type="dxa"/>
              <w:right w:w="99" w:type="dxa"/>
            </w:tcMar>
          </w:tcPr>
          <w:p w:rsidR="00FD64C1" w:rsidRPr="00FA6B66" w:rsidRDefault="00FD64C1" w:rsidP="00AC6A95">
            <w:pPr>
              <w:spacing w:after="0" w:line="273" w:lineRule="auto"/>
              <w:rPr>
                <w:rFonts w:ascii="Arial" w:eastAsia="Arial" w:hAnsi="Arial" w:cs="Arial"/>
                <w:sz w:val="16"/>
                <w:szCs w:val="16"/>
              </w:rPr>
            </w:pPr>
            <w:r>
              <w:rPr>
                <w:rFonts w:ascii="Arial" w:eastAsia="Arial" w:hAnsi="Arial" w:cs="Arial"/>
                <w:b/>
                <w:sz w:val="16"/>
                <w:szCs w:val="16"/>
              </w:rPr>
              <w:t>PM&amp;C</w:t>
            </w:r>
            <w:r w:rsidRPr="00FA6B66">
              <w:rPr>
                <w:rFonts w:ascii="Arial" w:eastAsia="Arial" w:hAnsi="Arial" w:cs="Arial"/>
                <w:b/>
                <w:sz w:val="16"/>
                <w:szCs w:val="16"/>
              </w:rPr>
              <w:t xml:space="preserve"> Comment:</w:t>
            </w:r>
            <w:r w:rsidRPr="00FA6B66">
              <w:rPr>
                <w:rFonts w:ascii="Arial" w:eastAsia="Arial" w:hAnsi="Arial" w:cs="Arial"/>
                <w:sz w:val="16"/>
                <w:szCs w:val="16"/>
              </w:rPr>
              <w:t xml:space="preserve"> The Department agrees and notes that the proposed </w:t>
            </w:r>
            <w:r w:rsidR="00AC6A95">
              <w:rPr>
                <w:rFonts w:ascii="Arial" w:eastAsia="Arial" w:hAnsi="Arial" w:cs="Arial"/>
                <w:sz w:val="16"/>
                <w:szCs w:val="16"/>
              </w:rPr>
              <w:t>a</w:t>
            </w:r>
            <w:r>
              <w:rPr>
                <w:rFonts w:ascii="Arial" w:eastAsia="Arial" w:hAnsi="Arial" w:cs="Arial"/>
                <w:sz w:val="16"/>
                <w:szCs w:val="16"/>
              </w:rPr>
              <w:t>ccreditation</w:t>
            </w:r>
            <w:r w:rsidRPr="00FA6B66">
              <w:rPr>
                <w:rFonts w:ascii="Arial" w:eastAsia="Arial" w:hAnsi="Arial" w:cs="Arial"/>
                <w:sz w:val="16"/>
                <w:szCs w:val="16"/>
              </w:rPr>
              <w:t xml:space="preserve"> </w:t>
            </w:r>
            <w:r w:rsidR="00AC6A95">
              <w:rPr>
                <w:rFonts w:ascii="Arial" w:eastAsia="Arial" w:hAnsi="Arial" w:cs="Arial"/>
                <w:sz w:val="16"/>
                <w:szCs w:val="16"/>
              </w:rPr>
              <w:t>f</w:t>
            </w:r>
            <w:r w:rsidR="00654AAF" w:rsidRPr="00FA6B66">
              <w:rPr>
                <w:rFonts w:ascii="Arial" w:eastAsia="Arial" w:hAnsi="Arial" w:cs="Arial"/>
                <w:sz w:val="16"/>
                <w:szCs w:val="16"/>
              </w:rPr>
              <w:t xml:space="preserve">ramework </w:t>
            </w:r>
            <w:r>
              <w:rPr>
                <w:rFonts w:ascii="Arial" w:eastAsia="Arial" w:hAnsi="Arial" w:cs="Arial"/>
                <w:sz w:val="16"/>
                <w:szCs w:val="16"/>
              </w:rPr>
              <w:t>is being developed in consultation with the OAIC</w:t>
            </w:r>
            <w:r w:rsidRPr="00FA6B66">
              <w:rPr>
                <w:rFonts w:ascii="Arial" w:eastAsia="Arial" w:hAnsi="Arial" w:cs="Arial"/>
                <w:sz w:val="16"/>
                <w:szCs w:val="16"/>
              </w:rPr>
              <w:t>.</w:t>
            </w:r>
            <w:r>
              <w:rPr>
                <w:rFonts w:ascii="Arial" w:eastAsia="Arial" w:hAnsi="Arial" w:cs="Arial"/>
                <w:sz w:val="16"/>
                <w:szCs w:val="16"/>
              </w:rPr>
              <w:t xml:space="preserve"> </w:t>
            </w:r>
          </w:p>
        </w:tc>
      </w:tr>
      <w:tr w:rsidR="00FD64C1" w:rsidRPr="00FA6B66" w:rsidTr="00FD64C1">
        <w:trPr>
          <w:jc w:val="center"/>
        </w:trPr>
        <w:tc>
          <w:tcPr>
            <w:tcW w:w="7366" w:type="dxa"/>
            <w:tcBorders>
              <w:top w:val="single" w:sz="4" w:space="0" w:color="999999"/>
              <w:left w:val="single" w:sz="4" w:space="0" w:color="999999"/>
              <w:bottom w:val="single" w:sz="4" w:space="0" w:color="999999"/>
              <w:right w:val="single" w:sz="4" w:space="0" w:color="999999"/>
            </w:tcBorders>
            <w:shd w:val="clear" w:color="auto" w:fill="F3F3F3"/>
            <w:tcMar>
              <w:top w:w="99" w:type="dxa"/>
              <w:left w:w="99" w:type="dxa"/>
              <w:bottom w:w="99" w:type="dxa"/>
              <w:right w:w="99" w:type="dxa"/>
            </w:tcMar>
          </w:tcPr>
          <w:p w:rsidR="00FD64C1" w:rsidRPr="00FA6B66" w:rsidRDefault="00FD64C1" w:rsidP="00FD64C1">
            <w:pPr>
              <w:spacing w:line="273" w:lineRule="auto"/>
              <w:rPr>
                <w:rFonts w:ascii="Arial" w:eastAsia="Arial" w:hAnsi="Arial" w:cs="Arial"/>
                <w:sz w:val="16"/>
                <w:szCs w:val="16"/>
              </w:rPr>
            </w:pPr>
            <w:r w:rsidRPr="00FA6B66">
              <w:rPr>
                <w:rFonts w:ascii="Arial" w:eastAsia="Arial" w:hAnsi="Arial" w:cs="Arial"/>
                <w:b/>
                <w:sz w:val="16"/>
                <w:szCs w:val="16"/>
              </w:rPr>
              <w:t xml:space="preserve">Recommendation 2: </w:t>
            </w:r>
            <w:r w:rsidRPr="00476EEF">
              <w:rPr>
                <w:rFonts w:ascii="Arial" w:eastAsia="Arial" w:hAnsi="Arial" w:cs="Arial"/>
                <w:sz w:val="16"/>
                <w:szCs w:val="16"/>
              </w:rPr>
              <w:t>Ensure that accreditation involves regular assurance that standards are being met</w:t>
            </w:r>
            <w:r>
              <w:rPr>
                <w:rFonts w:ascii="Arial" w:eastAsia="Arial" w:hAnsi="Arial" w:cs="Arial"/>
                <w:sz w:val="16"/>
                <w:szCs w:val="16"/>
              </w:rPr>
              <w:t>.</w:t>
            </w:r>
          </w:p>
          <w:p w:rsidR="00FD64C1" w:rsidRPr="00DB470F" w:rsidRDefault="00FD64C1" w:rsidP="00FD64C1">
            <w:pPr>
              <w:spacing w:after="0" w:line="273" w:lineRule="auto"/>
              <w:rPr>
                <w:rFonts w:ascii="Arial" w:eastAsia="Arial" w:hAnsi="Arial" w:cs="Arial"/>
                <w:sz w:val="16"/>
                <w:szCs w:val="16"/>
              </w:rPr>
            </w:pPr>
            <w:r w:rsidRPr="00476EEF">
              <w:rPr>
                <w:rFonts w:ascii="Arial" w:eastAsia="Arial" w:hAnsi="Arial" w:cs="Arial"/>
                <w:sz w:val="16"/>
                <w:szCs w:val="16"/>
              </w:rPr>
              <w:t>Ensure accreditation rules for Data Scheme Entities contain provisions that require entities to regularly check and confirm their compliance with accreditation obligations. This could take the form of a compliance statement or audit report that confirms compliance, including in relation to personal information handling. The NDC should track and enforce Data Scheme Entities’ ongoing assurance requirements.</w:t>
            </w:r>
          </w:p>
        </w:tc>
        <w:tc>
          <w:tcPr>
            <w:tcW w:w="1885" w:type="dxa"/>
            <w:tcBorders>
              <w:top w:val="single" w:sz="4" w:space="0" w:color="999999"/>
              <w:left w:val="single" w:sz="4" w:space="0" w:color="999999"/>
              <w:bottom w:val="single" w:sz="4" w:space="0" w:color="999999"/>
              <w:right w:val="single" w:sz="4" w:space="0" w:color="999999"/>
            </w:tcBorders>
            <w:shd w:val="clear" w:color="auto" w:fill="auto"/>
            <w:tcMar>
              <w:top w:w="99" w:type="dxa"/>
              <w:left w:w="99" w:type="dxa"/>
              <w:bottom w:w="99" w:type="dxa"/>
              <w:right w:w="99" w:type="dxa"/>
            </w:tcMar>
          </w:tcPr>
          <w:p w:rsidR="00FD64C1" w:rsidRPr="00FA6B66" w:rsidRDefault="00FD64C1" w:rsidP="00FD64C1">
            <w:pPr>
              <w:spacing w:after="0" w:line="273" w:lineRule="auto"/>
              <w:jc w:val="center"/>
              <w:rPr>
                <w:rFonts w:ascii="Arial" w:eastAsia="Arial" w:hAnsi="Arial" w:cs="Arial"/>
                <w:b/>
                <w:sz w:val="16"/>
                <w:szCs w:val="16"/>
              </w:rPr>
            </w:pPr>
            <w:r w:rsidRPr="00FA6B66">
              <w:rPr>
                <w:rFonts w:ascii="Arial" w:eastAsia="Arial" w:hAnsi="Arial" w:cs="Arial"/>
                <w:b/>
                <w:sz w:val="16"/>
                <w:szCs w:val="16"/>
              </w:rPr>
              <w:t xml:space="preserve">Agree </w:t>
            </w:r>
          </w:p>
        </w:tc>
      </w:tr>
      <w:tr w:rsidR="00FD64C1" w:rsidRPr="00FA6B66" w:rsidTr="00FD64C1">
        <w:trPr>
          <w:jc w:val="center"/>
        </w:trPr>
        <w:tc>
          <w:tcPr>
            <w:tcW w:w="9251" w:type="dxa"/>
            <w:gridSpan w:val="2"/>
            <w:tcBorders>
              <w:top w:val="single" w:sz="4" w:space="0" w:color="999999"/>
              <w:left w:val="single" w:sz="4" w:space="0" w:color="999999"/>
              <w:bottom w:val="single" w:sz="4" w:space="0" w:color="999999"/>
              <w:right w:val="single" w:sz="4" w:space="0" w:color="999999"/>
            </w:tcBorders>
            <w:shd w:val="clear" w:color="auto" w:fill="auto"/>
            <w:tcMar>
              <w:top w:w="99" w:type="dxa"/>
              <w:left w:w="99" w:type="dxa"/>
              <w:bottom w:w="99" w:type="dxa"/>
              <w:right w:w="99" w:type="dxa"/>
            </w:tcMar>
          </w:tcPr>
          <w:p w:rsidR="00FD64C1" w:rsidRPr="00FA6B66" w:rsidRDefault="00FD64C1" w:rsidP="00AC6A95">
            <w:pPr>
              <w:spacing w:after="0" w:line="273" w:lineRule="auto"/>
              <w:rPr>
                <w:rFonts w:ascii="Arial" w:eastAsia="Arial" w:hAnsi="Arial" w:cs="Arial"/>
                <w:sz w:val="16"/>
                <w:szCs w:val="16"/>
              </w:rPr>
            </w:pPr>
            <w:r>
              <w:rPr>
                <w:rFonts w:ascii="Arial" w:eastAsia="Arial" w:hAnsi="Arial" w:cs="Arial"/>
                <w:b/>
                <w:sz w:val="16"/>
                <w:szCs w:val="16"/>
              </w:rPr>
              <w:t>PM&amp;C</w:t>
            </w:r>
            <w:r w:rsidRPr="00FA6B66">
              <w:rPr>
                <w:rFonts w:ascii="Arial" w:eastAsia="Arial" w:hAnsi="Arial" w:cs="Arial"/>
                <w:b/>
                <w:sz w:val="16"/>
                <w:szCs w:val="16"/>
              </w:rPr>
              <w:t xml:space="preserve"> Comment:</w:t>
            </w:r>
            <w:r w:rsidRPr="00FA6B66">
              <w:rPr>
                <w:rFonts w:ascii="Arial" w:eastAsia="Arial" w:hAnsi="Arial" w:cs="Arial"/>
                <w:sz w:val="16"/>
                <w:szCs w:val="16"/>
              </w:rPr>
              <w:t xml:space="preserve"> The Department agrees</w:t>
            </w:r>
            <w:r>
              <w:rPr>
                <w:rFonts w:ascii="Arial" w:eastAsia="Arial" w:hAnsi="Arial" w:cs="Arial"/>
                <w:sz w:val="16"/>
                <w:szCs w:val="16"/>
              </w:rPr>
              <w:t xml:space="preserve"> and confirms the </w:t>
            </w:r>
            <w:r w:rsidR="00AC6A95">
              <w:rPr>
                <w:rFonts w:ascii="Arial" w:eastAsia="Arial" w:hAnsi="Arial" w:cs="Arial"/>
                <w:sz w:val="16"/>
                <w:szCs w:val="16"/>
              </w:rPr>
              <w:t>a</w:t>
            </w:r>
            <w:r>
              <w:rPr>
                <w:rFonts w:ascii="Arial" w:eastAsia="Arial" w:hAnsi="Arial" w:cs="Arial"/>
                <w:sz w:val="16"/>
                <w:szCs w:val="16"/>
              </w:rPr>
              <w:t xml:space="preserve">ccreditation </w:t>
            </w:r>
            <w:r w:rsidR="00AC6A95">
              <w:rPr>
                <w:rFonts w:ascii="Arial" w:eastAsia="Arial" w:hAnsi="Arial" w:cs="Arial"/>
                <w:sz w:val="16"/>
                <w:szCs w:val="16"/>
              </w:rPr>
              <w:t>f</w:t>
            </w:r>
            <w:r>
              <w:rPr>
                <w:rFonts w:ascii="Arial" w:eastAsia="Arial" w:hAnsi="Arial" w:cs="Arial"/>
                <w:sz w:val="16"/>
                <w:szCs w:val="16"/>
              </w:rPr>
              <w:t xml:space="preserve">ramework will include procedures and </w:t>
            </w:r>
            <w:r w:rsidRPr="00200C40">
              <w:rPr>
                <w:rFonts w:ascii="Arial" w:eastAsia="Arial" w:hAnsi="Arial" w:cs="Arial"/>
                <w:sz w:val="16"/>
                <w:szCs w:val="16"/>
              </w:rPr>
              <w:t>requirements in relation to maintaining accreditation</w:t>
            </w:r>
            <w:r>
              <w:rPr>
                <w:rFonts w:ascii="Arial" w:eastAsia="Arial" w:hAnsi="Arial" w:cs="Arial"/>
                <w:sz w:val="16"/>
                <w:szCs w:val="16"/>
              </w:rPr>
              <w:t>. The National Data Commissioners powers will also include suspending or cancelling an entity’s accreditation.</w:t>
            </w:r>
          </w:p>
        </w:tc>
      </w:tr>
      <w:tr w:rsidR="00FD64C1" w:rsidRPr="00FA6B66" w:rsidTr="00FD64C1">
        <w:trPr>
          <w:jc w:val="center"/>
        </w:trPr>
        <w:tc>
          <w:tcPr>
            <w:tcW w:w="7366" w:type="dxa"/>
            <w:tcBorders>
              <w:top w:val="single" w:sz="4" w:space="0" w:color="999999"/>
              <w:left w:val="single" w:sz="4" w:space="0" w:color="999999"/>
              <w:bottom w:val="single" w:sz="4" w:space="0" w:color="999999"/>
              <w:right w:val="single" w:sz="4" w:space="0" w:color="999999"/>
            </w:tcBorders>
            <w:shd w:val="clear" w:color="auto" w:fill="F3F3F3"/>
            <w:tcMar>
              <w:top w:w="99" w:type="dxa"/>
              <w:left w:w="99" w:type="dxa"/>
              <w:bottom w:w="99" w:type="dxa"/>
              <w:right w:w="99" w:type="dxa"/>
            </w:tcMar>
          </w:tcPr>
          <w:p w:rsidR="00FD64C1" w:rsidRPr="00FA6B66" w:rsidRDefault="00FD64C1" w:rsidP="00FD64C1">
            <w:pPr>
              <w:spacing w:line="273" w:lineRule="auto"/>
              <w:rPr>
                <w:rFonts w:ascii="Arial" w:eastAsia="Arial" w:hAnsi="Arial" w:cs="Arial"/>
                <w:sz w:val="16"/>
                <w:szCs w:val="16"/>
              </w:rPr>
            </w:pPr>
            <w:r w:rsidRPr="00FA6B66">
              <w:rPr>
                <w:rFonts w:ascii="Arial" w:eastAsia="Arial" w:hAnsi="Arial" w:cs="Arial"/>
                <w:b/>
                <w:sz w:val="16"/>
                <w:szCs w:val="16"/>
              </w:rPr>
              <w:t>Recommendation 3:</w:t>
            </w:r>
            <w:r w:rsidRPr="00FA6B66">
              <w:rPr>
                <w:rFonts w:ascii="Arial" w:eastAsia="Arial" w:hAnsi="Arial" w:cs="Arial"/>
                <w:sz w:val="16"/>
                <w:szCs w:val="16"/>
              </w:rPr>
              <w:t xml:space="preserve"> </w:t>
            </w:r>
            <w:r w:rsidRPr="00476EEF">
              <w:rPr>
                <w:rFonts w:ascii="Arial" w:eastAsia="Arial" w:hAnsi="Arial" w:cs="Arial"/>
                <w:sz w:val="16"/>
                <w:szCs w:val="16"/>
              </w:rPr>
              <w:t>Draft DAT</w:t>
            </w:r>
            <w:r>
              <w:rPr>
                <w:rFonts w:ascii="Arial" w:eastAsia="Arial" w:hAnsi="Arial" w:cs="Arial"/>
                <w:sz w:val="16"/>
                <w:szCs w:val="16"/>
              </w:rPr>
              <w:t xml:space="preserve"> </w:t>
            </w:r>
            <w:r w:rsidRPr="00476EEF">
              <w:rPr>
                <w:rFonts w:ascii="Arial" w:eastAsia="Arial" w:hAnsi="Arial" w:cs="Arial"/>
                <w:sz w:val="16"/>
                <w:szCs w:val="16"/>
              </w:rPr>
              <w:t>B</w:t>
            </w:r>
            <w:r>
              <w:rPr>
                <w:rFonts w:ascii="Arial" w:eastAsia="Arial" w:hAnsi="Arial" w:cs="Arial"/>
                <w:sz w:val="16"/>
                <w:szCs w:val="16"/>
              </w:rPr>
              <w:t>ill</w:t>
            </w:r>
            <w:r w:rsidRPr="00476EEF">
              <w:rPr>
                <w:rFonts w:ascii="Arial" w:eastAsia="Arial" w:hAnsi="Arial" w:cs="Arial"/>
                <w:sz w:val="16"/>
                <w:szCs w:val="16"/>
              </w:rPr>
              <w:t xml:space="preserve"> to effective</w:t>
            </w:r>
            <w:r>
              <w:rPr>
                <w:rFonts w:ascii="Arial" w:eastAsia="Arial" w:hAnsi="Arial" w:cs="Arial"/>
                <w:sz w:val="16"/>
                <w:szCs w:val="16"/>
              </w:rPr>
              <w:t xml:space="preserve">ly exclude sharing for ‘compliance and assurance’ </w:t>
            </w:r>
            <w:r w:rsidRPr="00476EEF">
              <w:rPr>
                <w:rFonts w:ascii="Arial" w:eastAsia="Arial" w:hAnsi="Arial" w:cs="Arial"/>
                <w:sz w:val="16"/>
                <w:szCs w:val="16"/>
              </w:rPr>
              <w:t>purposes</w:t>
            </w:r>
          </w:p>
          <w:p w:rsidR="00FD64C1" w:rsidRPr="00FA6B66" w:rsidRDefault="00FD64C1" w:rsidP="00FD64C1">
            <w:pPr>
              <w:spacing w:after="0" w:line="273" w:lineRule="auto"/>
              <w:rPr>
                <w:rFonts w:ascii="Arial" w:eastAsia="Arial" w:hAnsi="Arial" w:cs="Arial"/>
                <w:sz w:val="16"/>
                <w:szCs w:val="16"/>
              </w:rPr>
            </w:pPr>
            <w:r w:rsidRPr="00476EEF">
              <w:rPr>
                <w:rFonts w:ascii="Arial" w:eastAsia="Arial" w:hAnsi="Arial" w:cs="Arial"/>
                <w:sz w:val="16"/>
                <w:szCs w:val="16"/>
              </w:rPr>
              <w:t>Ensure that the DAT</w:t>
            </w:r>
            <w:r>
              <w:rPr>
                <w:rFonts w:ascii="Arial" w:eastAsia="Arial" w:hAnsi="Arial" w:cs="Arial"/>
                <w:sz w:val="16"/>
                <w:szCs w:val="16"/>
              </w:rPr>
              <w:t xml:space="preserve"> </w:t>
            </w:r>
            <w:r w:rsidRPr="00476EEF">
              <w:rPr>
                <w:rFonts w:ascii="Arial" w:eastAsia="Arial" w:hAnsi="Arial" w:cs="Arial"/>
                <w:sz w:val="16"/>
                <w:szCs w:val="16"/>
              </w:rPr>
              <w:t>B</w:t>
            </w:r>
            <w:r>
              <w:rPr>
                <w:rFonts w:ascii="Arial" w:eastAsia="Arial" w:hAnsi="Arial" w:cs="Arial"/>
                <w:sz w:val="16"/>
                <w:szCs w:val="16"/>
              </w:rPr>
              <w:t>ill</w:t>
            </w:r>
            <w:r w:rsidRPr="00476EEF">
              <w:rPr>
                <w:rFonts w:ascii="Arial" w:eastAsia="Arial" w:hAnsi="Arial" w:cs="Arial"/>
                <w:sz w:val="16"/>
                <w:szCs w:val="16"/>
              </w:rPr>
              <w:t xml:space="preserve"> is drafted in such a way that there is no doubt that ‘precluded purposes’ include compliance and assurance. The EM and supporting guidance material should also make clear that compliance and assurance activities are precluded.</w:t>
            </w:r>
          </w:p>
        </w:tc>
        <w:tc>
          <w:tcPr>
            <w:tcW w:w="1885" w:type="dxa"/>
            <w:tcBorders>
              <w:top w:val="single" w:sz="4" w:space="0" w:color="999999"/>
              <w:left w:val="single" w:sz="4" w:space="0" w:color="999999"/>
              <w:bottom w:val="single" w:sz="4" w:space="0" w:color="999999"/>
              <w:right w:val="single" w:sz="4" w:space="0" w:color="999999"/>
            </w:tcBorders>
            <w:shd w:val="clear" w:color="auto" w:fill="auto"/>
            <w:tcMar>
              <w:top w:w="99" w:type="dxa"/>
              <w:left w:w="99" w:type="dxa"/>
              <w:bottom w:w="99" w:type="dxa"/>
              <w:right w:w="99" w:type="dxa"/>
            </w:tcMar>
          </w:tcPr>
          <w:p w:rsidR="00FD64C1" w:rsidRPr="00FA6B66" w:rsidRDefault="00FD64C1" w:rsidP="00FD64C1">
            <w:pPr>
              <w:spacing w:after="0" w:line="273" w:lineRule="auto"/>
              <w:jc w:val="center"/>
              <w:rPr>
                <w:rFonts w:ascii="Arial" w:eastAsia="Arial" w:hAnsi="Arial" w:cs="Arial"/>
                <w:b/>
                <w:sz w:val="16"/>
                <w:szCs w:val="16"/>
              </w:rPr>
            </w:pPr>
            <w:r w:rsidRPr="00FA6B66">
              <w:rPr>
                <w:rFonts w:ascii="Arial" w:eastAsia="Arial" w:hAnsi="Arial" w:cs="Arial"/>
                <w:b/>
                <w:sz w:val="16"/>
                <w:szCs w:val="16"/>
              </w:rPr>
              <w:t>Agree</w:t>
            </w:r>
          </w:p>
        </w:tc>
      </w:tr>
      <w:tr w:rsidR="00FD64C1" w:rsidRPr="00FA6B66" w:rsidTr="00FD64C1">
        <w:trPr>
          <w:jc w:val="center"/>
        </w:trPr>
        <w:tc>
          <w:tcPr>
            <w:tcW w:w="9251" w:type="dxa"/>
            <w:gridSpan w:val="2"/>
            <w:tcBorders>
              <w:top w:val="single" w:sz="4" w:space="0" w:color="999999"/>
              <w:left w:val="single" w:sz="4" w:space="0" w:color="999999"/>
              <w:bottom w:val="single" w:sz="4" w:space="0" w:color="999999"/>
              <w:right w:val="single" w:sz="4" w:space="0" w:color="999999"/>
            </w:tcBorders>
            <w:shd w:val="clear" w:color="auto" w:fill="auto"/>
            <w:tcMar>
              <w:top w:w="99" w:type="dxa"/>
              <w:left w:w="99" w:type="dxa"/>
              <w:bottom w:w="99" w:type="dxa"/>
              <w:right w:w="99" w:type="dxa"/>
            </w:tcMar>
          </w:tcPr>
          <w:p w:rsidR="00FD64C1" w:rsidRPr="00FA6B66" w:rsidRDefault="00FD64C1" w:rsidP="00FD64C1">
            <w:pPr>
              <w:spacing w:after="0" w:line="273" w:lineRule="auto"/>
              <w:rPr>
                <w:rFonts w:ascii="Arial" w:eastAsia="Arial" w:hAnsi="Arial" w:cs="Arial"/>
                <w:sz w:val="16"/>
                <w:szCs w:val="16"/>
              </w:rPr>
            </w:pPr>
            <w:r>
              <w:rPr>
                <w:rFonts w:ascii="Arial" w:eastAsia="Arial" w:hAnsi="Arial" w:cs="Arial"/>
                <w:b/>
                <w:sz w:val="16"/>
                <w:szCs w:val="16"/>
              </w:rPr>
              <w:t>PM&amp;C</w:t>
            </w:r>
            <w:r w:rsidRPr="00FA6B66">
              <w:rPr>
                <w:rFonts w:ascii="Arial" w:eastAsia="Arial" w:hAnsi="Arial" w:cs="Arial"/>
                <w:b/>
                <w:sz w:val="16"/>
                <w:szCs w:val="16"/>
              </w:rPr>
              <w:t xml:space="preserve"> Comment:</w:t>
            </w:r>
            <w:r w:rsidRPr="00FA6B66">
              <w:rPr>
                <w:rFonts w:ascii="Arial" w:eastAsia="Arial" w:hAnsi="Arial" w:cs="Arial"/>
                <w:sz w:val="16"/>
                <w:szCs w:val="16"/>
              </w:rPr>
              <w:t xml:space="preserve"> The Department agrees</w:t>
            </w:r>
            <w:r>
              <w:rPr>
                <w:rFonts w:ascii="Arial" w:eastAsia="Arial" w:hAnsi="Arial" w:cs="Arial"/>
                <w:sz w:val="16"/>
                <w:szCs w:val="16"/>
              </w:rPr>
              <w:t xml:space="preserve"> and confirms the drafting of ‘enforcement related purpose’ includes </w:t>
            </w:r>
            <w:r w:rsidRPr="00FA6B66">
              <w:rPr>
                <w:rFonts w:ascii="Arial" w:eastAsia="Arial" w:hAnsi="Arial" w:cs="Arial"/>
                <w:sz w:val="16"/>
                <w:szCs w:val="16"/>
              </w:rPr>
              <w:t>compliance</w:t>
            </w:r>
            <w:r>
              <w:rPr>
                <w:rFonts w:ascii="Arial" w:eastAsia="Arial" w:hAnsi="Arial" w:cs="Arial"/>
                <w:sz w:val="16"/>
                <w:szCs w:val="16"/>
              </w:rPr>
              <w:t xml:space="preserve"> and assurance</w:t>
            </w:r>
            <w:r w:rsidRPr="00FA6B66">
              <w:rPr>
                <w:rFonts w:ascii="Arial" w:eastAsia="Arial" w:hAnsi="Arial" w:cs="Arial"/>
                <w:sz w:val="16"/>
                <w:szCs w:val="16"/>
              </w:rPr>
              <w:t xml:space="preserve"> activities</w:t>
            </w:r>
            <w:r>
              <w:rPr>
                <w:rFonts w:ascii="Arial" w:eastAsia="Arial" w:hAnsi="Arial" w:cs="Arial"/>
                <w:sz w:val="16"/>
                <w:szCs w:val="16"/>
              </w:rPr>
              <w:t>. Enforcement related purpose is adapted from the same concept in the</w:t>
            </w:r>
            <w:r w:rsidRPr="00026AA9">
              <w:rPr>
                <w:rFonts w:ascii="Arial" w:eastAsia="Arial" w:hAnsi="Arial" w:cs="Arial"/>
                <w:i/>
                <w:sz w:val="16"/>
                <w:szCs w:val="16"/>
              </w:rPr>
              <w:t xml:space="preserve"> Privacy Act 1988</w:t>
            </w:r>
            <w:r>
              <w:rPr>
                <w:rFonts w:ascii="Arial" w:eastAsia="Arial" w:hAnsi="Arial" w:cs="Arial"/>
                <w:sz w:val="16"/>
                <w:szCs w:val="16"/>
              </w:rPr>
              <w:t xml:space="preserve">, which also uses the concept to include compliance and assurance. The draft Explanatory Memorandum makes this intention clear.   </w:t>
            </w:r>
          </w:p>
        </w:tc>
      </w:tr>
      <w:tr w:rsidR="00FD64C1" w:rsidRPr="00FA6B66" w:rsidTr="00FD64C1">
        <w:trPr>
          <w:jc w:val="center"/>
        </w:trPr>
        <w:tc>
          <w:tcPr>
            <w:tcW w:w="7366" w:type="dxa"/>
            <w:tcBorders>
              <w:top w:val="single" w:sz="4" w:space="0" w:color="999999"/>
              <w:left w:val="single" w:sz="4" w:space="0" w:color="999999"/>
              <w:bottom w:val="single" w:sz="4" w:space="0" w:color="999999"/>
              <w:right w:val="single" w:sz="4" w:space="0" w:color="999999"/>
            </w:tcBorders>
            <w:shd w:val="clear" w:color="auto" w:fill="F3F3F3"/>
            <w:tcMar>
              <w:top w:w="99" w:type="dxa"/>
              <w:left w:w="99" w:type="dxa"/>
              <w:bottom w:w="99" w:type="dxa"/>
              <w:right w:w="99" w:type="dxa"/>
            </w:tcMar>
          </w:tcPr>
          <w:p w:rsidR="00FD64C1" w:rsidRPr="00FA6B66" w:rsidRDefault="00FD64C1" w:rsidP="00FD64C1">
            <w:pPr>
              <w:spacing w:line="273" w:lineRule="auto"/>
              <w:rPr>
                <w:rFonts w:ascii="Arial" w:eastAsia="Arial" w:hAnsi="Arial" w:cs="Arial"/>
                <w:sz w:val="16"/>
                <w:szCs w:val="16"/>
              </w:rPr>
            </w:pPr>
            <w:r w:rsidRPr="00FA6B66">
              <w:rPr>
                <w:rFonts w:ascii="Arial" w:eastAsia="Arial" w:hAnsi="Arial" w:cs="Arial"/>
                <w:b/>
                <w:sz w:val="16"/>
                <w:szCs w:val="16"/>
              </w:rPr>
              <w:t xml:space="preserve">Recommendation 4: </w:t>
            </w:r>
            <w:r w:rsidRPr="00D90C29">
              <w:rPr>
                <w:rFonts w:ascii="Arial" w:eastAsia="Arial" w:hAnsi="Arial" w:cs="Arial"/>
                <w:sz w:val="16"/>
                <w:szCs w:val="16"/>
              </w:rPr>
              <w:t>Articulate meaning of permitted purposes in Explanatory Memorandum</w:t>
            </w:r>
            <w:r>
              <w:rPr>
                <w:rFonts w:ascii="Arial" w:eastAsia="Arial" w:hAnsi="Arial" w:cs="Arial"/>
                <w:sz w:val="16"/>
                <w:szCs w:val="16"/>
              </w:rPr>
              <w:t xml:space="preserve"> (EM).</w:t>
            </w:r>
          </w:p>
          <w:p w:rsidR="00FD64C1" w:rsidRPr="00B34BCD" w:rsidRDefault="00FD64C1" w:rsidP="00FD64C1">
            <w:pPr>
              <w:spacing w:after="0" w:line="273" w:lineRule="auto"/>
              <w:rPr>
                <w:rFonts w:ascii="Arial" w:eastAsia="Arial" w:hAnsi="Arial" w:cs="Arial"/>
                <w:sz w:val="16"/>
                <w:szCs w:val="16"/>
              </w:rPr>
            </w:pPr>
            <w:r w:rsidRPr="00D90C29">
              <w:rPr>
                <w:rFonts w:ascii="Arial" w:eastAsia="Arial" w:hAnsi="Arial" w:cs="Arial"/>
                <w:sz w:val="16"/>
                <w:szCs w:val="16"/>
              </w:rPr>
              <w:t>Address the expected data sharing purposes in the EM, giving examples of what would and would not fit within these terms, in particular in relation to compliance. Make clear that private sector organisations could become accredited entities and that any commercial activities must be consistent with the permitted purposes.</w:t>
            </w:r>
          </w:p>
        </w:tc>
        <w:tc>
          <w:tcPr>
            <w:tcW w:w="1885" w:type="dxa"/>
            <w:tcBorders>
              <w:top w:val="single" w:sz="4" w:space="0" w:color="999999"/>
              <w:left w:val="single" w:sz="4" w:space="0" w:color="999999"/>
              <w:bottom w:val="single" w:sz="4" w:space="0" w:color="999999"/>
              <w:right w:val="single" w:sz="4" w:space="0" w:color="999999"/>
            </w:tcBorders>
            <w:shd w:val="clear" w:color="auto" w:fill="auto"/>
            <w:tcMar>
              <w:top w:w="99" w:type="dxa"/>
              <w:left w:w="99" w:type="dxa"/>
              <w:bottom w:w="99" w:type="dxa"/>
              <w:right w:w="99" w:type="dxa"/>
            </w:tcMar>
          </w:tcPr>
          <w:p w:rsidR="00FD64C1" w:rsidRPr="00FA6B66" w:rsidRDefault="00FD64C1" w:rsidP="00FD64C1">
            <w:pPr>
              <w:spacing w:after="0" w:line="273" w:lineRule="auto"/>
              <w:jc w:val="center"/>
              <w:rPr>
                <w:rFonts w:ascii="Arial" w:eastAsia="Arial" w:hAnsi="Arial" w:cs="Arial"/>
                <w:b/>
                <w:sz w:val="16"/>
                <w:szCs w:val="16"/>
              </w:rPr>
            </w:pPr>
            <w:r w:rsidRPr="00FA6B66">
              <w:rPr>
                <w:rFonts w:ascii="Arial" w:eastAsia="Arial" w:hAnsi="Arial" w:cs="Arial"/>
                <w:b/>
                <w:sz w:val="16"/>
                <w:szCs w:val="16"/>
              </w:rPr>
              <w:t>Agree</w:t>
            </w:r>
          </w:p>
        </w:tc>
      </w:tr>
      <w:tr w:rsidR="00FD64C1" w:rsidRPr="00FA6B66" w:rsidTr="00FD64C1">
        <w:trPr>
          <w:jc w:val="center"/>
        </w:trPr>
        <w:tc>
          <w:tcPr>
            <w:tcW w:w="9251" w:type="dxa"/>
            <w:gridSpan w:val="2"/>
            <w:tcBorders>
              <w:top w:val="single" w:sz="4" w:space="0" w:color="999999"/>
              <w:left w:val="single" w:sz="4" w:space="0" w:color="999999"/>
              <w:bottom w:val="single" w:sz="4" w:space="0" w:color="999999"/>
              <w:right w:val="single" w:sz="4" w:space="0" w:color="999999"/>
            </w:tcBorders>
            <w:shd w:val="clear" w:color="auto" w:fill="auto"/>
            <w:tcMar>
              <w:top w:w="99" w:type="dxa"/>
              <w:left w:w="99" w:type="dxa"/>
              <w:bottom w:w="99" w:type="dxa"/>
              <w:right w:w="99" w:type="dxa"/>
            </w:tcMar>
          </w:tcPr>
          <w:p w:rsidR="00FD64C1" w:rsidRPr="00FA6B66" w:rsidRDefault="00FD64C1" w:rsidP="00FD64C1">
            <w:pPr>
              <w:spacing w:after="0" w:line="273" w:lineRule="auto"/>
              <w:rPr>
                <w:rFonts w:ascii="Arial" w:eastAsia="Arial" w:hAnsi="Arial" w:cs="Arial"/>
                <w:sz w:val="16"/>
                <w:szCs w:val="16"/>
              </w:rPr>
            </w:pPr>
            <w:r>
              <w:rPr>
                <w:rFonts w:ascii="Arial" w:eastAsia="Arial" w:hAnsi="Arial" w:cs="Arial"/>
                <w:b/>
                <w:sz w:val="16"/>
                <w:szCs w:val="16"/>
              </w:rPr>
              <w:t>PM&amp;C</w:t>
            </w:r>
            <w:r w:rsidRPr="00FA6B66">
              <w:rPr>
                <w:rFonts w:ascii="Arial" w:eastAsia="Arial" w:hAnsi="Arial" w:cs="Arial"/>
                <w:b/>
                <w:sz w:val="16"/>
                <w:szCs w:val="16"/>
              </w:rPr>
              <w:t xml:space="preserve"> Comment:</w:t>
            </w:r>
            <w:r w:rsidRPr="00FA6B66">
              <w:rPr>
                <w:rFonts w:ascii="Arial" w:eastAsia="Arial" w:hAnsi="Arial" w:cs="Arial"/>
                <w:sz w:val="16"/>
                <w:szCs w:val="16"/>
              </w:rPr>
              <w:t xml:space="preserve"> The Department a</w:t>
            </w:r>
            <w:r>
              <w:rPr>
                <w:rFonts w:ascii="Arial" w:eastAsia="Arial" w:hAnsi="Arial" w:cs="Arial"/>
                <w:sz w:val="16"/>
                <w:szCs w:val="16"/>
              </w:rPr>
              <w:t>grees and confirms it has included description of the permitted and precluded purposes in the draft EM.</w:t>
            </w:r>
          </w:p>
        </w:tc>
      </w:tr>
      <w:tr w:rsidR="00FD64C1" w:rsidRPr="00FA6B66" w:rsidTr="00FD64C1">
        <w:trPr>
          <w:jc w:val="center"/>
        </w:trPr>
        <w:tc>
          <w:tcPr>
            <w:tcW w:w="7366" w:type="dxa"/>
            <w:tcBorders>
              <w:top w:val="single" w:sz="4" w:space="0" w:color="999999"/>
              <w:left w:val="single" w:sz="4" w:space="0" w:color="999999"/>
              <w:bottom w:val="single" w:sz="4" w:space="0" w:color="999999"/>
              <w:right w:val="single" w:sz="4" w:space="0" w:color="999999"/>
            </w:tcBorders>
            <w:shd w:val="clear" w:color="auto" w:fill="F3F3F3"/>
            <w:tcMar>
              <w:top w:w="99" w:type="dxa"/>
              <w:left w:w="99" w:type="dxa"/>
              <w:bottom w:w="99" w:type="dxa"/>
              <w:right w:w="99" w:type="dxa"/>
            </w:tcMar>
          </w:tcPr>
          <w:p w:rsidR="00FD64C1" w:rsidRPr="00FA6B66" w:rsidRDefault="00FD64C1" w:rsidP="00FD64C1">
            <w:pPr>
              <w:spacing w:line="273" w:lineRule="auto"/>
              <w:rPr>
                <w:rFonts w:ascii="Arial" w:eastAsia="Arial" w:hAnsi="Arial" w:cs="Arial"/>
                <w:sz w:val="16"/>
                <w:szCs w:val="16"/>
              </w:rPr>
            </w:pPr>
            <w:r>
              <w:rPr>
                <w:rFonts w:ascii="Arial" w:eastAsia="Arial" w:hAnsi="Arial" w:cs="Arial"/>
                <w:b/>
                <w:sz w:val="16"/>
                <w:szCs w:val="16"/>
              </w:rPr>
              <w:t>Recommendation 5</w:t>
            </w:r>
            <w:r w:rsidRPr="00FA6B66">
              <w:rPr>
                <w:rFonts w:ascii="Arial" w:eastAsia="Arial" w:hAnsi="Arial" w:cs="Arial"/>
                <w:b/>
                <w:sz w:val="16"/>
                <w:szCs w:val="16"/>
              </w:rPr>
              <w:t xml:space="preserve">: </w:t>
            </w:r>
            <w:r w:rsidRPr="007F0B9E">
              <w:rPr>
                <w:rFonts w:ascii="Arial" w:eastAsia="Arial" w:hAnsi="Arial" w:cs="Arial"/>
                <w:sz w:val="16"/>
                <w:szCs w:val="16"/>
              </w:rPr>
              <w:t>Provide guidance on the ethics process in appropriate circumstances</w:t>
            </w:r>
            <w:r>
              <w:rPr>
                <w:rFonts w:ascii="Arial" w:eastAsia="Arial" w:hAnsi="Arial" w:cs="Arial"/>
                <w:sz w:val="16"/>
                <w:szCs w:val="16"/>
              </w:rPr>
              <w:t>.</w:t>
            </w:r>
          </w:p>
          <w:p w:rsidR="00FD64C1" w:rsidRPr="00D90C29" w:rsidRDefault="00FD64C1" w:rsidP="00FD64C1">
            <w:pPr>
              <w:spacing w:after="0" w:line="273" w:lineRule="auto"/>
              <w:rPr>
                <w:rFonts w:ascii="Arial" w:eastAsia="Arial" w:hAnsi="Arial" w:cs="Arial"/>
                <w:sz w:val="16"/>
                <w:szCs w:val="16"/>
              </w:rPr>
            </w:pPr>
            <w:r w:rsidRPr="00D90C29">
              <w:rPr>
                <w:rFonts w:ascii="Arial" w:eastAsia="Arial" w:hAnsi="Arial" w:cs="Arial"/>
                <w:sz w:val="16"/>
                <w:szCs w:val="16"/>
              </w:rPr>
              <w:t xml:space="preserve">Specify, in supporting guidance material, when and how a </w:t>
            </w:r>
            <w:r>
              <w:rPr>
                <w:rFonts w:ascii="Arial" w:eastAsia="Arial" w:hAnsi="Arial" w:cs="Arial"/>
                <w:sz w:val="16"/>
                <w:szCs w:val="16"/>
              </w:rPr>
              <w:t>D</w:t>
            </w:r>
            <w:r w:rsidRPr="00D90C29">
              <w:rPr>
                <w:rFonts w:ascii="Arial" w:eastAsia="Arial" w:hAnsi="Arial" w:cs="Arial"/>
                <w:sz w:val="16"/>
                <w:szCs w:val="16"/>
              </w:rPr>
              <w:t xml:space="preserve">ata </w:t>
            </w:r>
            <w:r>
              <w:rPr>
                <w:rFonts w:ascii="Arial" w:eastAsia="Arial" w:hAnsi="Arial" w:cs="Arial"/>
                <w:sz w:val="16"/>
                <w:szCs w:val="16"/>
              </w:rPr>
              <w:t>S</w:t>
            </w:r>
            <w:r w:rsidRPr="00D90C29">
              <w:rPr>
                <w:rFonts w:ascii="Arial" w:eastAsia="Arial" w:hAnsi="Arial" w:cs="Arial"/>
                <w:sz w:val="16"/>
                <w:szCs w:val="16"/>
              </w:rPr>
              <w:t xml:space="preserve">cheme </w:t>
            </w:r>
            <w:r>
              <w:rPr>
                <w:rFonts w:ascii="Arial" w:eastAsia="Arial" w:hAnsi="Arial" w:cs="Arial"/>
                <w:sz w:val="16"/>
                <w:szCs w:val="16"/>
              </w:rPr>
              <w:t>E</w:t>
            </w:r>
            <w:r w:rsidRPr="00D90C29">
              <w:rPr>
                <w:rFonts w:ascii="Arial" w:eastAsia="Arial" w:hAnsi="Arial" w:cs="Arial"/>
                <w:sz w:val="16"/>
                <w:szCs w:val="16"/>
              </w:rPr>
              <w:t>ntity should undertake an ethics process and the nature of the process required. Possible circumstances to consider include cases:</w:t>
            </w:r>
          </w:p>
          <w:p w:rsidR="00FD64C1" w:rsidRPr="00D90C29" w:rsidRDefault="00FD64C1" w:rsidP="00FD64C1">
            <w:pPr>
              <w:pStyle w:val="ListParagraph"/>
              <w:numPr>
                <w:ilvl w:val="0"/>
                <w:numId w:val="26"/>
              </w:numPr>
              <w:spacing w:after="0" w:line="273" w:lineRule="auto"/>
              <w:rPr>
                <w:rFonts w:ascii="Arial" w:eastAsia="Arial" w:hAnsi="Arial" w:cs="Arial"/>
                <w:sz w:val="16"/>
                <w:szCs w:val="16"/>
              </w:rPr>
            </w:pPr>
            <w:r w:rsidRPr="00D90C29">
              <w:rPr>
                <w:rFonts w:ascii="Arial" w:eastAsia="Arial" w:hAnsi="Arial" w:cs="Arial"/>
                <w:sz w:val="16"/>
                <w:szCs w:val="16"/>
              </w:rPr>
              <w:t>Involving sensitive information</w:t>
            </w:r>
          </w:p>
          <w:p w:rsidR="00FD64C1" w:rsidRPr="00D90C29" w:rsidRDefault="00FD64C1" w:rsidP="00FD64C1">
            <w:pPr>
              <w:pStyle w:val="ListParagraph"/>
              <w:numPr>
                <w:ilvl w:val="0"/>
                <w:numId w:val="26"/>
              </w:numPr>
              <w:spacing w:after="0" w:line="273" w:lineRule="auto"/>
              <w:rPr>
                <w:rFonts w:ascii="Arial" w:eastAsia="Arial" w:hAnsi="Arial" w:cs="Arial"/>
                <w:sz w:val="16"/>
                <w:szCs w:val="16"/>
              </w:rPr>
            </w:pPr>
            <w:r w:rsidRPr="00D90C29">
              <w:rPr>
                <w:rFonts w:ascii="Arial" w:eastAsia="Arial" w:hAnsi="Arial" w:cs="Arial"/>
                <w:sz w:val="16"/>
                <w:szCs w:val="16"/>
              </w:rPr>
              <w:t>Where seeking consent is impracticable or unreasonable</w:t>
            </w:r>
          </w:p>
          <w:p w:rsidR="00FD64C1" w:rsidRPr="00D90C29" w:rsidRDefault="00FD64C1" w:rsidP="00FD64C1">
            <w:pPr>
              <w:pStyle w:val="ListParagraph"/>
              <w:numPr>
                <w:ilvl w:val="0"/>
                <w:numId w:val="26"/>
              </w:numPr>
              <w:spacing w:after="0" w:line="273" w:lineRule="auto"/>
              <w:rPr>
                <w:rFonts w:ascii="Arial" w:eastAsia="Arial" w:hAnsi="Arial" w:cs="Arial"/>
                <w:sz w:val="16"/>
                <w:szCs w:val="16"/>
              </w:rPr>
            </w:pPr>
            <w:r w:rsidRPr="00D90C29">
              <w:rPr>
                <w:rFonts w:ascii="Arial" w:eastAsia="Arial" w:hAnsi="Arial" w:cs="Arial"/>
                <w:sz w:val="16"/>
                <w:szCs w:val="16"/>
              </w:rPr>
              <w:lastRenderedPageBreak/>
              <w:t>When it is not possible to use de-identified data</w:t>
            </w:r>
          </w:p>
          <w:p w:rsidR="00FD64C1" w:rsidRPr="00D90C29" w:rsidRDefault="00FD64C1" w:rsidP="00FD64C1">
            <w:pPr>
              <w:pStyle w:val="ListParagraph"/>
              <w:numPr>
                <w:ilvl w:val="0"/>
                <w:numId w:val="26"/>
              </w:numPr>
              <w:spacing w:after="0" w:line="273" w:lineRule="auto"/>
              <w:rPr>
                <w:rFonts w:ascii="Arial" w:eastAsia="Arial" w:hAnsi="Arial" w:cs="Arial"/>
                <w:sz w:val="16"/>
                <w:szCs w:val="16"/>
              </w:rPr>
            </w:pPr>
            <w:r w:rsidRPr="00D90C29">
              <w:rPr>
                <w:rFonts w:ascii="Arial" w:eastAsia="Arial" w:hAnsi="Arial" w:cs="Arial"/>
                <w:sz w:val="16"/>
                <w:szCs w:val="16"/>
              </w:rPr>
              <w:t>Where the sharing would have a commercial application for the Accredited User</w:t>
            </w:r>
          </w:p>
          <w:p w:rsidR="00FD64C1" w:rsidRPr="00B34BCD" w:rsidRDefault="00FD64C1" w:rsidP="00FD64C1">
            <w:pPr>
              <w:pStyle w:val="ListParagraph"/>
              <w:numPr>
                <w:ilvl w:val="0"/>
                <w:numId w:val="26"/>
              </w:numPr>
              <w:spacing w:after="0" w:line="273" w:lineRule="auto"/>
              <w:rPr>
                <w:rFonts w:ascii="Arial" w:eastAsia="Arial" w:hAnsi="Arial" w:cs="Arial"/>
                <w:sz w:val="16"/>
                <w:szCs w:val="16"/>
              </w:rPr>
            </w:pPr>
            <w:r w:rsidRPr="00D90C29">
              <w:rPr>
                <w:rFonts w:ascii="Arial" w:eastAsia="Arial" w:hAnsi="Arial" w:cs="Arial"/>
                <w:sz w:val="16"/>
                <w:szCs w:val="16"/>
              </w:rPr>
              <w:t>Where there may be community concern about the proposed sharing.</w:t>
            </w:r>
          </w:p>
        </w:tc>
        <w:tc>
          <w:tcPr>
            <w:tcW w:w="1885" w:type="dxa"/>
            <w:tcBorders>
              <w:top w:val="single" w:sz="4" w:space="0" w:color="999999"/>
              <w:left w:val="single" w:sz="4" w:space="0" w:color="999999"/>
              <w:bottom w:val="single" w:sz="4" w:space="0" w:color="999999"/>
              <w:right w:val="single" w:sz="4" w:space="0" w:color="999999"/>
            </w:tcBorders>
            <w:shd w:val="clear" w:color="auto" w:fill="auto"/>
            <w:tcMar>
              <w:top w:w="99" w:type="dxa"/>
              <w:left w:w="99" w:type="dxa"/>
              <w:bottom w:w="99" w:type="dxa"/>
              <w:right w:w="99" w:type="dxa"/>
            </w:tcMar>
          </w:tcPr>
          <w:p w:rsidR="00FD64C1" w:rsidRPr="00FA6B66" w:rsidRDefault="00FD64C1" w:rsidP="00FD64C1">
            <w:pPr>
              <w:spacing w:after="0" w:line="273" w:lineRule="auto"/>
              <w:jc w:val="center"/>
              <w:rPr>
                <w:rFonts w:ascii="Arial" w:eastAsia="Arial" w:hAnsi="Arial" w:cs="Arial"/>
                <w:b/>
                <w:sz w:val="16"/>
                <w:szCs w:val="16"/>
              </w:rPr>
            </w:pPr>
            <w:r w:rsidRPr="00FA6B66">
              <w:rPr>
                <w:rFonts w:ascii="Arial" w:eastAsia="Arial" w:hAnsi="Arial" w:cs="Arial"/>
                <w:b/>
                <w:sz w:val="16"/>
                <w:szCs w:val="16"/>
              </w:rPr>
              <w:lastRenderedPageBreak/>
              <w:t>Agree</w:t>
            </w:r>
          </w:p>
        </w:tc>
      </w:tr>
      <w:tr w:rsidR="00FD64C1" w:rsidRPr="00FA6B66" w:rsidTr="00FD64C1">
        <w:trPr>
          <w:jc w:val="center"/>
        </w:trPr>
        <w:tc>
          <w:tcPr>
            <w:tcW w:w="9251" w:type="dxa"/>
            <w:gridSpan w:val="2"/>
            <w:tcBorders>
              <w:top w:val="single" w:sz="4" w:space="0" w:color="999999"/>
              <w:left w:val="single" w:sz="4" w:space="0" w:color="999999"/>
              <w:bottom w:val="single" w:sz="4" w:space="0" w:color="999999"/>
              <w:right w:val="single" w:sz="4" w:space="0" w:color="999999"/>
            </w:tcBorders>
            <w:shd w:val="clear" w:color="auto" w:fill="auto"/>
            <w:tcMar>
              <w:top w:w="99" w:type="dxa"/>
              <w:left w:w="99" w:type="dxa"/>
              <w:bottom w:w="99" w:type="dxa"/>
              <w:right w:w="99" w:type="dxa"/>
            </w:tcMar>
          </w:tcPr>
          <w:p w:rsidR="00FD64C1" w:rsidRPr="00FA6B66" w:rsidRDefault="00FD64C1" w:rsidP="00FD64C1">
            <w:pPr>
              <w:spacing w:after="0" w:line="273" w:lineRule="auto"/>
              <w:rPr>
                <w:rFonts w:ascii="Arial" w:eastAsia="Arial" w:hAnsi="Arial" w:cs="Arial"/>
                <w:sz w:val="16"/>
                <w:szCs w:val="16"/>
              </w:rPr>
            </w:pPr>
            <w:r>
              <w:rPr>
                <w:rFonts w:ascii="Arial" w:eastAsia="Arial" w:hAnsi="Arial" w:cs="Arial"/>
                <w:b/>
                <w:sz w:val="16"/>
                <w:szCs w:val="16"/>
              </w:rPr>
              <w:t>PM&amp;C</w:t>
            </w:r>
            <w:r w:rsidRPr="00FA6B66">
              <w:rPr>
                <w:rFonts w:ascii="Arial" w:eastAsia="Arial" w:hAnsi="Arial" w:cs="Arial"/>
                <w:b/>
                <w:sz w:val="16"/>
                <w:szCs w:val="16"/>
              </w:rPr>
              <w:t xml:space="preserve"> Comment:</w:t>
            </w:r>
            <w:r w:rsidRPr="00FA6B66">
              <w:rPr>
                <w:rFonts w:ascii="Arial" w:eastAsia="Arial" w:hAnsi="Arial" w:cs="Arial"/>
                <w:sz w:val="16"/>
                <w:szCs w:val="16"/>
              </w:rPr>
              <w:t xml:space="preserve"> The Department a</w:t>
            </w:r>
            <w:r>
              <w:rPr>
                <w:rFonts w:ascii="Arial" w:eastAsia="Arial" w:hAnsi="Arial" w:cs="Arial"/>
                <w:sz w:val="16"/>
                <w:szCs w:val="16"/>
              </w:rPr>
              <w:t xml:space="preserve">grees and will develop guidance to provide advice on ethics. </w:t>
            </w:r>
          </w:p>
        </w:tc>
      </w:tr>
      <w:tr w:rsidR="00FD64C1" w:rsidRPr="00FA6B66" w:rsidTr="00FD64C1">
        <w:trPr>
          <w:jc w:val="center"/>
        </w:trPr>
        <w:tc>
          <w:tcPr>
            <w:tcW w:w="7366" w:type="dxa"/>
            <w:tcBorders>
              <w:top w:val="single" w:sz="4" w:space="0" w:color="999999"/>
              <w:left w:val="single" w:sz="4" w:space="0" w:color="999999"/>
              <w:bottom w:val="single" w:sz="4" w:space="0" w:color="999999"/>
              <w:right w:val="single" w:sz="4" w:space="0" w:color="999999"/>
            </w:tcBorders>
            <w:shd w:val="clear" w:color="auto" w:fill="F3F3F3"/>
            <w:tcMar>
              <w:top w:w="99" w:type="dxa"/>
              <w:left w:w="99" w:type="dxa"/>
              <w:bottom w:w="99" w:type="dxa"/>
              <w:right w:w="99" w:type="dxa"/>
            </w:tcMar>
          </w:tcPr>
          <w:p w:rsidR="00FD64C1" w:rsidRDefault="00FD64C1" w:rsidP="00FD64C1">
            <w:pPr>
              <w:spacing w:after="0" w:line="273" w:lineRule="auto"/>
              <w:rPr>
                <w:rFonts w:ascii="Arial" w:eastAsia="Arial" w:hAnsi="Arial" w:cs="Arial"/>
                <w:sz w:val="16"/>
                <w:szCs w:val="16"/>
              </w:rPr>
            </w:pPr>
            <w:r w:rsidRPr="00FA6B66">
              <w:rPr>
                <w:rFonts w:ascii="Arial" w:eastAsia="Arial" w:hAnsi="Arial" w:cs="Arial"/>
                <w:b/>
                <w:sz w:val="16"/>
                <w:szCs w:val="16"/>
              </w:rPr>
              <w:t xml:space="preserve">Recommendation </w:t>
            </w:r>
            <w:r>
              <w:rPr>
                <w:rFonts w:ascii="Arial" w:eastAsia="Arial" w:hAnsi="Arial" w:cs="Arial"/>
                <w:b/>
                <w:sz w:val="16"/>
                <w:szCs w:val="16"/>
              </w:rPr>
              <w:t>6</w:t>
            </w:r>
            <w:r w:rsidRPr="00FA6B66">
              <w:rPr>
                <w:rFonts w:ascii="Arial" w:eastAsia="Arial" w:hAnsi="Arial" w:cs="Arial"/>
                <w:b/>
                <w:sz w:val="16"/>
                <w:szCs w:val="16"/>
              </w:rPr>
              <w:t>:</w:t>
            </w:r>
            <w:r w:rsidRPr="00FA6B66">
              <w:rPr>
                <w:rFonts w:ascii="Arial" w:eastAsia="Arial" w:hAnsi="Arial" w:cs="Arial"/>
                <w:sz w:val="16"/>
                <w:szCs w:val="16"/>
              </w:rPr>
              <w:t xml:space="preserve"> </w:t>
            </w:r>
            <w:r w:rsidRPr="00D90C29">
              <w:rPr>
                <w:rFonts w:ascii="Arial" w:eastAsia="Arial" w:hAnsi="Arial" w:cs="Arial"/>
                <w:sz w:val="16"/>
                <w:szCs w:val="16"/>
              </w:rPr>
              <w:t>Provide guidance on how consent operates in the data sharing scheme</w:t>
            </w:r>
            <w:r>
              <w:rPr>
                <w:rFonts w:ascii="Arial" w:eastAsia="Arial" w:hAnsi="Arial" w:cs="Arial"/>
                <w:sz w:val="16"/>
                <w:szCs w:val="16"/>
              </w:rPr>
              <w:t>.</w:t>
            </w:r>
          </w:p>
          <w:p w:rsidR="00FD64C1" w:rsidRDefault="00FD64C1" w:rsidP="00FD64C1">
            <w:pPr>
              <w:spacing w:after="0" w:line="273" w:lineRule="auto"/>
              <w:rPr>
                <w:rFonts w:ascii="Arial" w:eastAsia="Arial" w:hAnsi="Arial" w:cs="Arial"/>
                <w:sz w:val="16"/>
                <w:szCs w:val="16"/>
              </w:rPr>
            </w:pPr>
          </w:p>
          <w:p w:rsidR="00FD64C1" w:rsidRPr="00D90C29" w:rsidRDefault="00FD64C1" w:rsidP="00FD64C1">
            <w:pPr>
              <w:spacing w:after="0" w:line="273" w:lineRule="auto"/>
              <w:rPr>
                <w:rFonts w:ascii="Arial" w:eastAsia="Arial" w:hAnsi="Arial" w:cs="Arial"/>
                <w:sz w:val="16"/>
                <w:szCs w:val="16"/>
              </w:rPr>
            </w:pPr>
            <w:r w:rsidRPr="00D90C29">
              <w:rPr>
                <w:rFonts w:ascii="Arial" w:eastAsia="Arial" w:hAnsi="Arial" w:cs="Arial"/>
                <w:sz w:val="16"/>
                <w:szCs w:val="16"/>
              </w:rPr>
              <w:t>Specify, in the EM, guidelines and other guidance material, matters such as:</w:t>
            </w:r>
          </w:p>
          <w:p w:rsidR="00FD64C1" w:rsidRPr="00D90C29" w:rsidRDefault="00FD64C1" w:rsidP="00FD64C1">
            <w:pPr>
              <w:pStyle w:val="ListParagraph"/>
              <w:numPr>
                <w:ilvl w:val="0"/>
                <w:numId w:val="30"/>
              </w:numPr>
              <w:spacing w:after="0" w:line="273" w:lineRule="auto"/>
              <w:rPr>
                <w:rFonts w:ascii="Arial" w:eastAsia="Arial" w:hAnsi="Arial" w:cs="Arial"/>
                <w:sz w:val="16"/>
                <w:szCs w:val="16"/>
              </w:rPr>
            </w:pPr>
            <w:r w:rsidRPr="00D90C29">
              <w:rPr>
                <w:rFonts w:ascii="Arial" w:eastAsia="Arial" w:hAnsi="Arial" w:cs="Arial"/>
                <w:sz w:val="16"/>
                <w:szCs w:val="16"/>
              </w:rPr>
              <w:t>The definition and standard for consent (including referring to other authoritative sources where available)</w:t>
            </w:r>
            <w:r>
              <w:rPr>
                <w:rFonts w:ascii="Arial" w:eastAsia="Arial" w:hAnsi="Arial" w:cs="Arial"/>
                <w:sz w:val="16"/>
                <w:szCs w:val="16"/>
              </w:rPr>
              <w:t>,</w:t>
            </w:r>
          </w:p>
          <w:p w:rsidR="00FD64C1" w:rsidRPr="00D90C29" w:rsidRDefault="00FD64C1" w:rsidP="00FD64C1">
            <w:pPr>
              <w:pStyle w:val="ListParagraph"/>
              <w:numPr>
                <w:ilvl w:val="0"/>
                <w:numId w:val="30"/>
              </w:numPr>
              <w:spacing w:after="0" w:line="273" w:lineRule="auto"/>
              <w:rPr>
                <w:rFonts w:ascii="Arial" w:eastAsia="Arial" w:hAnsi="Arial" w:cs="Arial"/>
                <w:sz w:val="16"/>
                <w:szCs w:val="16"/>
              </w:rPr>
            </w:pPr>
            <w:r w:rsidRPr="00D90C29">
              <w:rPr>
                <w:rFonts w:ascii="Arial" w:eastAsia="Arial" w:hAnsi="Arial" w:cs="Arial"/>
                <w:sz w:val="16"/>
                <w:szCs w:val="16"/>
              </w:rPr>
              <w:t>That consent should be the norm for personal information sharing associated with the delivery of government services</w:t>
            </w:r>
            <w:r>
              <w:rPr>
                <w:rFonts w:ascii="Arial" w:eastAsia="Arial" w:hAnsi="Arial" w:cs="Arial"/>
                <w:sz w:val="16"/>
                <w:szCs w:val="16"/>
              </w:rPr>
              <w:t>,</w:t>
            </w:r>
          </w:p>
          <w:p w:rsidR="00FD64C1" w:rsidRPr="00D90C29" w:rsidRDefault="00FD64C1" w:rsidP="00FD64C1">
            <w:pPr>
              <w:pStyle w:val="ListParagraph"/>
              <w:numPr>
                <w:ilvl w:val="0"/>
                <w:numId w:val="30"/>
              </w:numPr>
              <w:spacing w:after="0" w:line="273" w:lineRule="auto"/>
              <w:rPr>
                <w:rFonts w:ascii="Arial" w:eastAsia="Arial" w:hAnsi="Arial" w:cs="Arial"/>
                <w:sz w:val="16"/>
                <w:szCs w:val="16"/>
              </w:rPr>
            </w:pPr>
            <w:r w:rsidRPr="00D90C29">
              <w:rPr>
                <w:rFonts w:ascii="Arial" w:eastAsia="Arial" w:hAnsi="Arial" w:cs="Arial"/>
                <w:sz w:val="16"/>
                <w:szCs w:val="16"/>
              </w:rPr>
              <w:t>The kinds of sharing purposes that will usually warrant consent</w:t>
            </w:r>
            <w:r>
              <w:rPr>
                <w:rFonts w:ascii="Arial" w:eastAsia="Arial" w:hAnsi="Arial" w:cs="Arial"/>
                <w:sz w:val="16"/>
                <w:szCs w:val="16"/>
              </w:rPr>
              <w:t>,</w:t>
            </w:r>
          </w:p>
          <w:p w:rsidR="00FD64C1" w:rsidRPr="00D90C29" w:rsidRDefault="00FD64C1" w:rsidP="00FD64C1">
            <w:pPr>
              <w:pStyle w:val="ListParagraph"/>
              <w:numPr>
                <w:ilvl w:val="0"/>
                <w:numId w:val="30"/>
              </w:numPr>
              <w:spacing w:after="0" w:line="273" w:lineRule="auto"/>
              <w:rPr>
                <w:rFonts w:ascii="Arial" w:eastAsia="Arial" w:hAnsi="Arial" w:cs="Arial"/>
                <w:sz w:val="16"/>
                <w:szCs w:val="16"/>
              </w:rPr>
            </w:pPr>
            <w:r w:rsidRPr="00D90C29">
              <w:rPr>
                <w:rFonts w:ascii="Arial" w:eastAsia="Arial" w:hAnsi="Arial" w:cs="Arial"/>
                <w:sz w:val="16"/>
                <w:szCs w:val="16"/>
              </w:rPr>
              <w:t>The kinds of circumstances that justify proceeding without consent.</w:t>
            </w:r>
          </w:p>
        </w:tc>
        <w:tc>
          <w:tcPr>
            <w:tcW w:w="1885" w:type="dxa"/>
            <w:tcBorders>
              <w:top w:val="single" w:sz="4" w:space="0" w:color="999999"/>
              <w:left w:val="single" w:sz="4" w:space="0" w:color="999999"/>
              <w:bottom w:val="single" w:sz="4" w:space="0" w:color="999999"/>
              <w:right w:val="single" w:sz="4" w:space="0" w:color="999999"/>
            </w:tcBorders>
            <w:shd w:val="clear" w:color="auto" w:fill="auto"/>
            <w:tcMar>
              <w:top w:w="99" w:type="dxa"/>
              <w:left w:w="99" w:type="dxa"/>
              <w:bottom w:w="99" w:type="dxa"/>
              <w:right w:w="99" w:type="dxa"/>
            </w:tcMar>
          </w:tcPr>
          <w:p w:rsidR="00FD64C1" w:rsidRPr="00FA6B66" w:rsidRDefault="00FD64C1" w:rsidP="00FD64C1">
            <w:pPr>
              <w:spacing w:after="0" w:line="273" w:lineRule="auto"/>
              <w:jc w:val="center"/>
              <w:rPr>
                <w:rFonts w:ascii="Arial" w:eastAsia="Arial" w:hAnsi="Arial" w:cs="Arial"/>
                <w:b/>
                <w:sz w:val="16"/>
                <w:szCs w:val="16"/>
              </w:rPr>
            </w:pPr>
            <w:r w:rsidRPr="00FA6B66">
              <w:rPr>
                <w:rFonts w:ascii="Arial" w:eastAsia="Arial" w:hAnsi="Arial" w:cs="Arial"/>
                <w:b/>
                <w:sz w:val="16"/>
                <w:szCs w:val="16"/>
              </w:rPr>
              <w:t xml:space="preserve">Agree </w:t>
            </w:r>
          </w:p>
        </w:tc>
      </w:tr>
      <w:tr w:rsidR="00FD64C1" w:rsidRPr="00FA6B66" w:rsidTr="00FD64C1">
        <w:trPr>
          <w:jc w:val="center"/>
        </w:trPr>
        <w:tc>
          <w:tcPr>
            <w:tcW w:w="9251" w:type="dxa"/>
            <w:gridSpan w:val="2"/>
            <w:tcBorders>
              <w:top w:val="single" w:sz="4" w:space="0" w:color="999999"/>
              <w:left w:val="single" w:sz="4" w:space="0" w:color="999999"/>
              <w:bottom w:val="single" w:sz="4" w:space="0" w:color="999999"/>
              <w:right w:val="single" w:sz="4" w:space="0" w:color="999999"/>
            </w:tcBorders>
            <w:shd w:val="clear" w:color="auto" w:fill="auto"/>
            <w:tcMar>
              <w:top w:w="99" w:type="dxa"/>
              <w:left w:w="99" w:type="dxa"/>
              <w:bottom w:w="99" w:type="dxa"/>
              <w:right w:w="99" w:type="dxa"/>
            </w:tcMar>
          </w:tcPr>
          <w:p w:rsidR="00FD64C1" w:rsidRPr="00FA6B66" w:rsidRDefault="00FD64C1" w:rsidP="00FD64C1">
            <w:pPr>
              <w:spacing w:after="0" w:line="273" w:lineRule="auto"/>
              <w:rPr>
                <w:rFonts w:ascii="Arial" w:eastAsia="Arial" w:hAnsi="Arial" w:cs="Arial"/>
                <w:sz w:val="16"/>
                <w:szCs w:val="16"/>
              </w:rPr>
            </w:pPr>
            <w:r>
              <w:rPr>
                <w:rFonts w:ascii="Arial" w:eastAsia="Arial" w:hAnsi="Arial" w:cs="Arial"/>
                <w:b/>
                <w:sz w:val="16"/>
                <w:szCs w:val="16"/>
              </w:rPr>
              <w:t>PM&amp;C</w:t>
            </w:r>
            <w:r w:rsidRPr="00FA6B66">
              <w:rPr>
                <w:rFonts w:ascii="Arial" w:eastAsia="Arial" w:hAnsi="Arial" w:cs="Arial"/>
                <w:b/>
                <w:sz w:val="16"/>
                <w:szCs w:val="16"/>
              </w:rPr>
              <w:t xml:space="preserve"> Comment:</w:t>
            </w:r>
            <w:r w:rsidRPr="00FA6B66">
              <w:rPr>
                <w:rFonts w:ascii="Arial" w:eastAsia="Arial" w:hAnsi="Arial" w:cs="Arial"/>
                <w:sz w:val="16"/>
                <w:szCs w:val="16"/>
              </w:rPr>
              <w:t xml:space="preserve"> The Department agrees </w:t>
            </w:r>
            <w:r>
              <w:rPr>
                <w:rFonts w:ascii="Arial" w:eastAsia="Arial" w:hAnsi="Arial" w:cs="Arial"/>
                <w:sz w:val="16"/>
                <w:szCs w:val="16"/>
              </w:rPr>
              <w:t xml:space="preserve">and will develop guidance on </w:t>
            </w:r>
            <w:r w:rsidRPr="00D90C29">
              <w:rPr>
                <w:rFonts w:ascii="Arial" w:eastAsia="Arial" w:hAnsi="Arial" w:cs="Arial"/>
                <w:sz w:val="16"/>
                <w:szCs w:val="16"/>
              </w:rPr>
              <w:t>how consent operates in the data sharing scheme</w:t>
            </w:r>
            <w:r>
              <w:rPr>
                <w:rFonts w:ascii="Arial" w:eastAsia="Arial" w:hAnsi="Arial" w:cs="Arial"/>
                <w:sz w:val="16"/>
                <w:szCs w:val="16"/>
              </w:rPr>
              <w:t xml:space="preserve">. </w:t>
            </w:r>
          </w:p>
        </w:tc>
      </w:tr>
      <w:tr w:rsidR="00FD64C1" w:rsidRPr="00FA6B66" w:rsidTr="00FD64C1">
        <w:trPr>
          <w:jc w:val="center"/>
        </w:trPr>
        <w:tc>
          <w:tcPr>
            <w:tcW w:w="7366" w:type="dxa"/>
            <w:tcBorders>
              <w:top w:val="single" w:sz="4" w:space="0" w:color="999999"/>
              <w:left w:val="single" w:sz="4" w:space="0" w:color="999999"/>
              <w:bottom w:val="single" w:sz="4" w:space="0" w:color="999999"/>
              <w:right w:val="single" w:sz="4" w:space="0" w:color="999999"/>
            </w:tcBorders>
            <w:shd w:val="clear" w:color="auto" w:fill="F3F3F3"/>
            <w:tcMar>
              <w:top w:w="99" w:type="dxa"/>
              <w:left w:w="99" w:type="dxa"/>
              <w:bottom w:w="99" w:type="dxa"/>
              <w:right w:w="99" w:type="dxa"/>
            </w:tcMar>
          </w:tcPr>
          <w:p w:rsidR="00FD64C1" w:rsidRPr="00FA6B66" w:rsidRDefault="00FD64C1" w:rsidP="00FD64C1">
            <w:pPr>
              <w:spacing w:line="273" w:lineRule="auto"/>
              <w:rPr>
                <w:rFonts w:ascii="Arial" w:eastAsia="Arial" w:hAnsi="Arial" w:cs="Arial"/>
                <w:sz w:val="16"/>
                <w:szCs w:val="16"/>
                <w:u w:val="single"/>
              </w:rPr>
            </w:pPr>
            <w:r w:rsidRPr="00FA6B66">
              <w:rPr>
                <w:rFonts w:ascii="Arial" w:eastAsia="Arial" w:hAnsi="Arial" w:cs="Arial"/>
                <w:b/>
                <w:sz w:val="16"/>
                <w:szCs w:val="16"/>
              </w:rPr>
              <w:t xml:space="preserve">Recommendation </w:t>
            </w:r>
            <w:r>
              <w:rPr>
                <w:rFonts w:ascii="Arial" w:eastAsia="Arial" w:hAnsi="Arial" w:cs="Arial"/>
                <w:b/>
                <w:sz w:val="16"/>
                <w:szCs w:val="16"/>
              </w:rPr>
              <w:t>7</w:t>
            </w:r>
            <w:r w:rsidRPr="00FA6B66">
              <w:rPr>
                <w:rFonts w:ascii="Arial" w:eastAsia="Arial" w:hAnsi="Arial" w:cs="Arial"/>
                <w:b/>
                <w:sz w:val="16"/>
                <w:szCs w:val="16"/>
              </w:rPr>
              <w:t xml:space="preserve">: </w:t>
            </w:r>
            <w:r w:rsidRPr="00D90C29">
              <w:rPr>
                <w:rFonts w:ascii="Arial" w:eastAsia="Arial" w:hAnsi="Arial" w:cs="Arial"/>
                <w:sz w:val="16"/>
                <w:szCs w:val="16"/>
              </w:rPr>
              <w:t xml:space="preserve">Specify ‘privacy’ in the </w:t>
            </w:r>
            <w:r>
              <w:rPr>
                <w:rFonts w:ascii="Arial" w:eastAsia="Arial" w:hAnsi="Arial" w:cs="Arial"/>
                <w:sz w:val="16"/>
                <w:szCs w:val="16"/>
              </w:rPr>
              <w:t>National Data Advisory Council’s (</w:t>
            </w:r>
            <w:r w:rsidRPr="00D90C29">
              <w:rPr>
                <w:rFonts w:ascii="Arial" w:eastAsia="Arial" w:hAnsi="Arial" w:cs="Arial"/>
                <w:sz w:val="16"/>
                <w:szCs w:val="16"/>
              </w:rPr>
              <w:t>NDAC’s</w:t>
            </w:r>
            <w:r>
              <w:rPr>
                <w:rFonts w:ascii="Arial" w:eastAsia="Arial" w:hAnsi="Arial" w:cs="Arial"/>
                <w:sz w:val="16"/>
                <w:szCs w:val="16"/>
              </w:rPr>
              <w:t>)</w:t>
            </w:r>
            <w:r w:rsidRPr="00D90C29">
              <w:rPr>
                <w:rFonts w:ascii="Arial" w:eastAsia="Arial" w:hAnsi="Arial" w:cs="Arial"/>
                <w:sz w:val="16"/>
                <w:szCs w:val="16"/>
              </w:rPr>
              <w:t xml:space="preserve"> advisory functions</w:t>
            </w:r>
            <w:r>
              <w:rPr>
                <w:rFonts w:ascii="Arial" w:eastAsia="Arial" w:hAnsi="Arial" w:cs="Arial"/>
                <w:sz w:val="16"/>
                <w:szCs w:val="16"/>
              </w:rPr>
              <w:t>.</w:t>
            </w:r>
          </w:p>
          <w:p w:rsidR="00FD64C1" w:rsidRPr="00DB470F" w:rsidRDefault="00FD64C1" w:rsidP="00FD64C1">
            <w:pPr>
              <w:spacing w:after="0" w:line="273" w:lineRule="auto"/>
              <w:rPr>
                <w:rFonts w:ascii="Arial" w:eastAsia="Arial" w:hAnsi="Arial" w:cs="Arial"/>
                <w:sz w:val="16"/>
                <w:szCs w:val="16"/>
              </w:rPr>
            </w:pPr>
            <w:r w:rsidRPr="00D90C29">
              <w:rPr>
                <w:rFonts w:ascii="Arial" w:eastAsia="Arial" w:hAnsi="Arial" w:cs="Arial"/>
                <w:sz w:val="16"/>
                <w:szCs w:val="16"/>
              </w:rPr>
              <w:t>Specify the matters that NDAC is to advise on in the Bill, including: ethics; balancing data availability with privacy protection; and trust and transparency.</w:t>
            </w:r>
          </w:p>
        </w:tc>
        <w:tc>
          <w:tcPr>
            <w:tcW w:w="1885" w:type="dxa"/>
            <w:tcBorders>
              <w:top w:val="single" w:sz="4" w:space="0" w:color="999999"/>
              <w:left w:val="single" w:sz="4" w:space="0" w:color="999999"/>
              <w:bottom w:val="single" w:sz="4" w:space="0" w:color="999999"/>
              <w:right w:val="single" w:sz="4" w:space="0" w:color="999999"/>
            </w:tcBorders>
            <w:shd w:val="clear" w:color="auto" w:fill="auto"/>
            <w:tcMar>
              <w:top w:w="99" w:type="dxa"/>
              <w:left w:w="99" w:type="dxa"/>
              <w:bottom w:w="99" w:type="dxa"/>
              <w:right w:w="99" w:type="dxa"/>
            </w:tcMar>
          </w:tcPr>
          <w:p w:rsidR="00FD64C1" w:rsidRPr="00FA6B66" w:rsidRDefault="00FD64C1" w:rsidP="00FD64C1">
            <w:pPr>
              <w:spacing w:after="0" w:line="273" w:lineRule="auto"/>
              <w:jc w:val="center"/>
              <w:rPr>
                <w:rFonts w:ascii="Arial" w:eastAsia="Arial" w:hAnsi="Arial" w:cs="Arial"/>
                <w:b/>
                <w:sz w:val="16"/>
                <w:szCs w:val="16"/>
              </w:rPr>
            </w:pPr>
            <w:r w:rsidRPr="00FA6B66">
              <w:rPr>
                <w:rFonts w:ascii="Arial" w:eastAsia="Arial" w:hAnsi="Arial" w:cs="Arial"/>
                <w:b/>
                <w:sz w:val="16"/>
                <w:szCs w:val="16"/>
              </w:rPr>
              <w:t>Agree</w:t>
            </w:r>
          </w:p>
        </w:tc>
      </w:tr>
      <w:tr w:rsidR="00FD64C1" w:rsidRPr="00FA6B66" w:rsidTr="00FD64C1">
        <w:trPr>
          <w:jc w:val="center"/>
        </w:trPr>
        <w:tc>
          <w:tcPr>
            <w:tcW w:w="9251" w:type="dxa"/>
            <w:gridSpan w:val="2"/>
            <w:tcBorders>
              <w:top w:val="single" w:sz="4" w:space="0" w:color="999999"/>
              <w:left w:val="single" w:sz="4" w:space="0" w:color="999999"/>
              <w:bottom w:val="single" w:sz="4" w:space="0" w:color="999999"/>
              <w:right w:val="single" w:sz="4" w:space="0" w:color="999999"/>
            </w:tcBorders>
            <w:shd w:val="clear" w:color="auto" w:fill="auto"/>
            <w:tcMar>
              <w:top w:w="99" w:type="dxa"/>
              <w:left w:w="99" w:type="dxa"/>
              <w:bottom w:w="99" w:type="dxa"/>
              <w:right w:w="99" w:type="dxa"/>
            </w:tcMar>
          </w:tcPr>
          <w:p w:rsidR="00FD64C1" w:rsidRPr="00FA6B66" w:rsidRDefault="00FD64C1" w:rsidP="00FD64C1">
            <w:pPr>
              <w:spacing w:after="0" w:line="273" w:lineRule="auto"/>
              <w:rPr>
                <w:rFonts w:ascii="Arial" w:eastAsia="Arial" w:hAnsi="Arial" w:cs="Arial"/>
                <w:sz w:val="16"/>
                <w:szCs w:val="16"/>
              </w:rPr>
            </w:pPr>
            <w:r>
              <w:rPr>
                <w:rFonts w:ascii="Arial" w:eastAsia="Arial" w:hAnsi="Arial" w:cs="Arial"/>
                <w:b/>
                <w:sz w:val="16"/>
                <w:szCs w:val="16"/>
              </w:rPr>
              <w:t>PM&amp;C</w:t>
            </w:r>
            <w:r w:rsidRPr="00FA6B66">
              <w:rPr>
                <w:rFonts w:ascii="Arial" w:eastAsia="Arial" w:hAnsi="Arial" w:cs="Arial"/>
                <w:b/>
                <w:sz w:val="16"/>
                <w:szCs w:val="16"/>
              </w:rPr>
              <w:t xml:space="preserve"> Comment:</w:t>
            </w:r>
            <w:r w:rsidRPr="00FA6B66">
              <w:rPr>
                <w:rFonts w:ascii="Arial" w:eastAsia="Arial" w:hAnsi="Arial" w:cs="Arial"/>
                <w:sz w:val="16"/>
                <w:szCs w:val="16"/>
              </w:rPr>
              <w:t xml:space="preserve"> The Department agrees </w:t>
            </w:r>
            <w:r>
              <w:rPr>
                <w:rFonts w:ascii="Arial" w:eastAsia="Arial" w:hAnsi="Arial" w:cs="Arial"/>
                <w:sz w:val="16"/>
                <w:szCs w:val="16"/>
              </w:rPr>
              <w:t>and has added privacy to the NDAC’s advisory functions in the Bill, along with a non-exhaustive list of other functions.</w:t>
            </w:r>
            <w:r w:rsidRPr="00FA6B66">
              <w:rPr>
                <w:rFonts w:ascii="Arial" w:eastAsia="Arial" w:hAnsi="Arial" w:cs="Arial"/>
                <w:sz w:val="16"/>
                <w:szCs w:val="16"/>
              </w:rPr>
              <w:t xml:space="preserve"> </w:t>
            </w:r>
          </w:p>
        </w:tc>
      </w:tr>
      <w:tr w:rsidR="00FD64C1" w:rsidRPr="00FA6B66" w:rsidTr="00FD64C1">
        <w:trPr>
          <w:trHeight w:val="1500"/>
          <w:jc w:val="center"/>
        </w:trPr>
        <w:tc>
          <w:tcPr>
            <w:tcW w:w="7366" w:type="dxa"/>
            <w:tcBorders>
              <w:top w:val="single" w:sz="4" w:space="0" w:color="999999"/>
              <w:left w:val="single" w:sz="4" w:space="0" w:color="999999"/>
              <w:bottom w:val="single" w:sz="4" w:space="0" w:color="999999"/>
              <w:right w:val="single" w:sz="4" w:space="0" w:color="999999"/>
            </w:tcBorders>
            <w:shd w:val="clear" w:color="auto" w:fill="F3F3F3"/>
            <w:tcMar>
              <w:top w:w="99" w:type="dxa"/>
              <w:left w:w="99" w:type="dxa"/>
              <w:bottom w:w="99" w:type="dxa"/>
              <w:right w:w="99" w:type="dxa"/>
            </w:tcMar>
          </w:tcPr>
          <w:p w:rsidR="00FD64C1" w:rsidRPr="00FA6B66" w:rsidRDefault="00FD64C1" w:rsidP="00FD64C1">
            <w:pPr>
              <w:spacing w:line="273" w:lineRule="auto"/>
              <w:rPr>
                <w:rFonts w:ascii="Arial" w:eastAsia="Arial" w:hAnsi="Arial" w:cs="Arial"/>
                <w:sz w:val="16"/>
                <w:szCs w:val="16"/>
              </w:rPr>
            </w:pPr>
            <w:r w:rsidRPr="00FA6B66">
              <w:rPr>
                <w:rFonts w:ascii="Arial" w:eastAsia="Arial" w:hAnsi="Arial" w:cs="Arial"/>
                <w:b/>
                <w:sz w:val="16"/>
                <w:szCs w:val="16"/>
              </w:rPr>
              <w:t xml:space="preserve">Recommendation </w:t>
            </w:r>
            <w:r>
              <w:rPr>
                <w:rFonts w:ascii="Arial" w:eastAsia="Arial" w:hAnsi="Arial" w:cs="Arial"/>
                <w:b/>
                <w:sz w:val="16"/>
                <w:szCs w:val="16"/>
              </w:rPr>
              <w:t>8:</w:t>
            </w:r>
            <w:hyperlink w:anchor="_q6xf5ds97kt4">
              <w:r w:rsidRPr="00FA6B66">
                <w:rPr>
                  <w:rFonts w:ascii="Arial" w:eastAsia="Arial" w:hAnsi="Arial" w:cs="Arial"/>
                  <w:sz w:val="16"/>
                  <w:szCs w:val="16"/>
                </w:rPr>
                <w:t xml:space="preserve"> </w:t>
              </w:r>
              <w:r w:rsidRPr="00D90C29">
                <w:rPr>
                  <w:rFonts w:ascii="Arial" w:eastAsia="Arial" w:hAnsi="Arial" w:cs="Arial"/>
                  <w:sz w:val="16"/>
                  <w:szCs w:val="16"/>
                </w:rPr>
                <w:t xml:space="preserve">Review effectiveness of the </w:t>
              </w:r>
              <w:r>
                <w:rPr>
                  <w:rFonts w:ascii="Arial" w:eastAsia="Arial" w:hAnsi="Arial" w:cs="Arial"/>
                  <w:sz w:val="16"/>
                  <w:szCs w:val="16"/>
                </w:rPr>
                <w:t>National Data Commissioner (</w:t>
              </w:r>
              <w:r w:rsidRPr="00D90C29">
                <w:rPr>
                  <w:rFonts w:ascii="Arial" w:eastAsia="Arial" w:hAnsi="Arial" w:cs="Arial"/>
                  <w:sz w:val="16"/>
                  <w:szCs w:val="16"/>
                </w:rPr>
                <w:t>NDC</w:t>
              </w:r>
              <w:r>
                <w:rPr>
                  <w:rFonts w:ascii="Arial" w:eastAsia="Arial" w:hAnsi="Arial" w:cs="Arial"/>
                  <w:sz w:val="16"/>
                  <w:szCs w:val="16"/>
                </w:rPr>
                <w:t>)</w:t>
              </w:r>
              <w:r w:rsidRPr="00D90C29">
                <w:rPr>
                  <w:rFonts w:ascii="Arial" w:eastAsia="Arial" w:hAnsi="Arial" w:cs="Arial"/>
                  <w:sz w:val="16"/>
                  <w:szCs w:val="16"/>
                </w:rPr>
                <w:t xml:space="preserve"> support and staffing model in first statutory review of the Act </w:t>
              </w:r>
            </w:hyperlink>
          </w:p>
          <w:p w:rsidR="00FD64C1" w:rsidRPr="00FA6B66" w:rsidRDefault="00FD64C1" w:rsidP="00FD64C1">
            <w:pPr>
              <w:spacing w:after="0" w:line="273" w:lineRule="auto"/>
              <w:rPr>
                <w:rFonts w:ascii="Arial" w:eastAsia="Arial" w:hAnsi="Arial" w:cs="Arial"/>
                <w:sz w:val="16"/>
                <w:szCs w:val="16"/>
              </w:rPr>
            </w:pPr>
            <w:r w:rsidRPr="00D90C29">
              <w:rPr>
                <w:rFonts w:ascii="Arial" w:eastAsia="Arial" w:hAnsi="Arial" w:cs="Arial"/>
                <w:sz w:val="16"/>
                <w:szCs w:val="16"/>
              </w:rPr>
              <w:t>Review effectiveness of the NDC support and staffing model during the first statutory review of the Act. The NDC and the NDAC should be asked to provide input on this issue as part of the review. The review should consider how the model supports or detracts from the ability of the NDC to carry out their statutory functions, including monitoring compliance with the scheme and investigating complaints.</w:t>
            </w:r>
          </w:p>
        </w:tc>
        <w:tc>
          <w:tcPr>
            <w:tcW w:w="1885" w:type="dxa"/>
            <w:tcBorders>
              <w:top w:val="single" w:sz="4" w:space="0" w:color="999999"/>
              <w:left w:val="single" w:sz="4" w:space="0" w:color="999999"/>
              <w:bottom w:val="single" w:sz="4" w:space="0" w:color="999999"/>
              <w:right w:val="single" w:sz="4" w:space="0" w:color="999999"/>
            </w:tcBorders>
            <w:shd w:val="clear" w:color="auto" w:fill="auto"/>
            <w:tcMar>
              <w:top w:w="99" w:type="dxa"/>
              <w:left w:w="99" w:type="dxa"/>
              <w:bottom w:w="99" w:type="dxa"/>
              <w:right w:w="99" w:type="dxa"/>
            </w:tcMar>
          </w:tcPr>
          <w:p w:rsidR="00FD64C1" w:rsidRPr="00FA6B66" w:rsidRDefault="00FD64C1" w:rsidP="00FD64C1">
            <w:pPr>
              <w:spacing w:after="0" w:line="273" w:lineRule="auto"/>
              <w:jc w:val="center"/>
              <w:rPr>
                <w:rFonts w:ascii="Arial" w:eastAsia="Arial" w:hAnsi="Arial" w:cs="Arial"/>
                <w:b/>
                <w:sz w:val="16"/>
                <w:szCs w:val="16"/>
              </w:rPr>
            </w:pPr>
            <w:r w:rsidRPr="00FA6B66">
              <w:rPr>
                <w:rFonts w:ascii="Arial" w:eastAsia="Arial" w:hAnsi="Arial" w:cs="Arial"/>
                <w:b/>
                <w:sz w:val="16"/>
                <w:szCs w:val="16"/>
              </w:rPr>
              <w:t>Agree</w:t>
            </w:r>
            <w:r>
              <w:rPr>
                <w:rFonts w:ascii="Arial" w:eastAsia="Arial" w:hAnsi="Arial" w:cs="Arial"/>
                <w:b/>
                <w:sz w:val="16"/>
                <w:szCs w:val="16"/>
              </w:rPr>
              <w:t xml:space="preserve"> in principle</w:t>
            </w:r>
          </w:p>
        </w:tc>
      </w:tr>
      <w:tr w:rsidR="00FD64C1" w:rsidRPr="00FA6B66" w:rsidTr="00FD64C1">
        <w:trPr>
          <w:jc w:val="center"/>
        </w:trPr>
        <w:tc>
          <w:tcPr>
            <w:tcW w:w="9251" w:type="dxa"/>
            <w:gridSpan w:val="2"/>
            <w:tcBorders>
              <w:top w:val="single" w:sz="4" w:space="0" w:color="999999"/>
              <w:left w:val="single" w:sz="4" w:space="0" w:color="999999"/>
              <w:bottom w:val="single" w:sz="4" w:space="0" w:color="999999"/>
              <w:right w:val="single" w:sz="4" w:space="0" w:color="999999"/>
            </w:tcBorders>
            <w:tcMar>
              <w:top w:w="99" w:type="dxa"/>
              <w:left w:w="99" w:type="dxa"/>
              <w:bottom w:w="99" w:type="dxa"/>
              <w:right w:w="99" w:type="dxa"/>
            </w:tcMar>
          </w:tcPr>
          <w:p w:rsidR="00FD64C1" w:rsidRPr="00FA6B66" w:rsidRDefault="00FD64C1" w:rsidP="00FD64C1">
            <w:pPr>
              <w:spacing w:after="0" w:line="273" w:lineRule="auto"/>
              <w:rPr>
                <w:rFonts w:ascii="Arial" w:eastAsia="Arial" w:hAnsi="Arial" w:cs="Arial"/>
                <w:sz w:val="16"/>
                <w:szCs w:val="16"/>
              </w:rPr>
            </w:pPr>
            <w:r>
              <w:rPr>
                <w:rFonts w:ascii="Arial" w:eastAsia="Arial" w:hAnsi="Arial" w:cs="Arial"/>
                <w:b/>
                <w:sz w:val="16"/>
                <w:szCs w:val="16"/>
              </w:rPr>
              <w:t>PM&amp;C</w:t>
            </w:r>
            <w:r w:rsidRPr="00FA6B66">
              <w:rPr>
                <w:rFonts w:ascii="Arial" w:eastAsia="Arial" w:hAnsi="Arial" w:cs="Arial"/>
                <w:b/>
                <w:sz w:val="16"/>
                <w:szCs w:val="16"/>
              </w:rPr>
              <w:t xml:space="preserve"> Comment:</w:t>
            </w:r>
            <w:r w:rsidRPr="00FA6B66">
              <w:rPr>
                <w:rFonts w:ascii="Arial" w:eastAsia="Arial" w:hAnsi="Arial" w:cs="Arial"/>
                <w:sz w:val="16"/>
                <w:szCs w:val="16"/>
              </w:rPr>
              <w:t xml:space="preserve"> The Department agrees </w:t>
            </w:r>
            <w:r>
              <w:rPr>
                <w:rFonts w:ascii="Arial" w:eastAsia="Arial" w:hAnsi="Arial" w:cs="Arial"/>
                <w:sz w:val="16"/>
                <w:szCs w:val="16"/>
              </w:rPr>
              <w:t>and confirms the first statutory review after three years of the scheme’s commencement will most likely consider the effectiveness of the Bill and data sharing scheme, including NDC operation.</w:t>
            </w:r>
          </w:p>
        </w:tc>
      </w:tr>
      <w:tr w:rsidR="00FD64C1" w:rsidRPr="00FA6B66" w:rsidTr="00FD64C1">
        <w:trPr>
          <w:jc w:val="center"/>
        </w:trPr>
        <w:tc>
          <w:tcPr>
            <w:tcW w:w="7366" w:type="dxa"/>
            <w:tcBorders>
              <w:top w:val="single" w:sz="4" w:space="0" w:color="999999"/>
              <w:left w:val="single" w:sz="4" w:space="0" w:color="999999"/>
              <w:bottom w:val="single" w:sz="4" w:space="0" w:color="999999"/>
              <w:right w:val="single" w:sz="4" w:space="0" w:color="999999"/>
            </w:tcBorders>
            <w:shd w:val="clear" w:color="auto" w:fill="F3F3F3"/>
            <w:tcMar>
              <w:top w:w="99" w:type="dxa"/>
              <w:left w:w="99" w:type="dxa"/>
              <w:bottom w:w="99" w:type="dxa"/>
              <w:right w:w="99" w:type="dxa"/>
            </w:tcMar>
          </w:tcPr>
          <w:p w:rsidR="00FD64C1" w:rsidRDefault="00FD64C1" w:rsidP="00FD64C1">
            <w:pPr>
              <w:spacing w:after="0" w:line="273" w:lineRule="auto"/>
              <w:rPr>
                <w:rFonts w:ascii="Arial" w:eastAsia="Arial" w:hAnsi="Arial" w:cs="Arial"/>
                <w:sz w:val="16"/>
                <w:szCs w:val="16"/>
              </w:rPr>
            </w:pPr>
            <w:r w:rsidRPr="00FA6B66">
              <w:rPr>
                <w:rFonts w:ascii="Arial" w:eastAsia="Arial" w:hAnsi="Arial" w:cs="Arial"/>
                <w:b/>
                <w:sz w:val="16"/>
                <w:szCs w:val="16"/>
              </w:rPr>
              <w:t xml:space="preserve">Recommendation </w:t>
            </w:r>
            <w:r>
              <w:rPr>
                <w:rFonts w:ascii="Arial" w:eastAsia="Arial" w:hAnsi="Arial" w:cs="Arial"/>
                <w:b/>
                <w:sz w:val="16"/>
                <w:szCs w:val="16"/>
              </w:rPr>
              <w:t>9</w:t>
            </w:r>
            <w:r w:rsidRPr="00FA6B66">
              <w:rPr>
                <w:rFonts w:ascii="Arial" w:eastAsia="Arial" w:hAnsi="Arial" w:cs="Arial"/>
                <w:b/>
                <w:sz w:val="16"/>
                <w:szCs w:val="16"/>
              </w:rPr>
              <w:t xml:space="preserve">: </w:t>
            </w:r>
            <w:r w:rsidRPr="00D90C29">
              <w:rPr>
                <w:rFonts w:ascii="Arial" w:eastAsia="Arial" w:hAnsi="Arial" w:cs="Arial"/>
                <w:sz w:val="16"/>
                <w:szCs w:val="16"/>
              </w:rPr>
              <w:t>Develop and publish a regulatory action plan</w:t>
            </w:r>
            <w:r>
              <w:rPr>
                <w:rFonts w:ascii="Arial" w:eastAsia="Arial" w:hAnsi="Arial" w:cs="Arial"/>
                <w:sz w:val="16"/>
                <w:szCs w:val="16"/>
              </w:rPr>
              <w:t>.</w:t>
            </w:r>
            <w:r w:rsidRPr="00B34BCD">
              <w:rPr>
                <w:rFonts w:ascii="Arial" w:eastAsia="Arial" w:hAnsi="Arial" w:cs="Arial"/>
                <w:sz w:val="16"/>
                <w:szCs w:val="16"/>
              </w:rPr>
              <w:t xml:space="preserve"> </w:t>
            </w:r>
          </w:p>
          <w:p w:rsidR="00FD64C1" w:rsidRDefault="00FD64C1" w:rsidP="00FD64C1">
            <w:pPr>
              <w:spacing w:after="0" w:line="273" w:lineRule="auto"/>
              <w:rPr>
                <w:rFonts w:ascii="Arial" w:eastAsia="Arial" w:hAnsi="Arial" w:cs="Arial"/>
                <w:sz w:val="16"/>
                <w:szCs w:val="16"/>
              </w:rPr>
            </w:pPr>
          </w:p>
          <w:p w:rsidR="00FD64C1" w:rsidRPr="00D90C29" w:rsidRDefault="00FD64C1" w:rsidP="00FD64C1">
            <w:pPr>
              <w:spacing w:after="0" w:line="273" w:lineRule="auto"/>
              <w:rPr>
                <w:rFonts w:ascii="Arial" w:eastAsia="Arial" w:hAnsi="Arial" w:cs="Arial"/>
                <w:sz w:val="16"/>
                <w:szCs w:val="16"/>
              </w:rPr>
            </w:pPr>
            <w:r w:rsidRPr="00D90C29">
              <w:rPr>
                <w:rFonts w:ascii="Arial" w:eastAsia="Arial" w:hAnsi="Arial" w:cs="Arial"/>
                <w:sz w:val="16"/>
                <w:szCs w:val="16"/>
              </w:rPr>
              <w:t>Develop and publish a regulatory action plan that specifies the NDC’s approach to its oversight and the use of their enforcement powers. The plan should cover matters such as:</w:t>
            </w:r>
          </w:p>
          <w:p w:rsidR="00FD64C1" w:rsidRPr="00D90C29" w:rsidRDefault="00FD64C1" w:rsidP="00FD64C1">
            <w:pPr>
              <w:pStyle w:val="ListParagraph"/>
              <w:numPr>
                <w:ilvl w:val="0"/>
                <w:numId w:val="31"/>
              </w:numPr>
              <w:spacing w:after="0" w:line="273" w:lineRule="auto"/>
              <w:rPr>
                <w:rFonts w:ascii="Arial" w:eastAsia="Arial" w:hAnsi="Arial" w:cs="Arial"/>
                <w:sz w:val="16"/>
                <w:szCs w:val="16"/>
              </w:rPr>
            </w:pPr>
            <w:r w:rsidRPr="00D90C29">
              <w:rPr>
                <w:rFonts w:ascii="Arial" w:eastAsia="Arial" w:hAnsi="Arial" w:cs="Arial"/>
                <w:sz w:val="16"/>
                <w:szCs w:val="16"/>
              </w:rPr>
              <w:t xml:space="preserve">Monitoring the </w:t>
            </w:r>
            <w:r>
              <w:rPr>
                <w:rFonts w:ascii="Arial" w:eastAsia="Arial" w:hAnsi="Arial" w:cs="Arial"/>
                <w:sz w:val="16"/>
                <w:szCs w:val="16"/>
              </w:rPr>
              <w:t>d</w:t>
            </w:r>
            <w:r w:rsidRPr="00D90C29">
              <w:rPr>
                <w:rFonts w:ascii="Arial" w:eastAsia="Arial" w:hAnsi="Arial" w:cs="Arial"/>
                <w:sz w:val="16"/>
                <w:szCs w:val="16"/>
              </w:rPr>
              <w:t xml:space="preserve">ata </w:t>
            </w:r>
            <w:r>
              <w:rPr>
                <w:rFonts w:ascii="Arial" w:eastAsia="Arial" w:hAnsi="Arial" w:cs="Arial"/>
                <w:sz w:val="16"/>
                <w:szCs w:val="16"/>
              </w:rPr>
              <w:t>s</w:t>
            </w:r>
            <w:r w:rsidRPr="00D90C29">
              <w:rPr>
                <w:rFonts w:ascii="Arial" w:eastAsia="Arial" w:hAnsi="Arial" w:cs="Arial"/>
                <w:sz w:val="16"/>
                <w:szCs w:val="16"/>
              </w:rPr>
              <w:t xml:space="preserve">haring </w:t>
            </w:r>
            <w:r>
              <w:rPr>
                <w:rFonts w:ascii="Arial" w:eastAsia="Arial" w:hAnsi="Arial" w:cs="Arial"/>
                <w:sz w:val="16"/>
                <w:szCs w:val="16"/>
              </w:rPr>
              <w:t>s</w:t>
            </w:r>
            <w:r w:rsidRPr="00D90C29">
              <w:rPr>
                <w:rFonts w:ascii="Arial" w:eastAsia="Arial" w:hAnsi="Arial" w:cs="Arial"/>
                <w:sz w:val="16"/>
                <w:szCs w:val="16"/>
              </w:rPr>
              <w:t>cheme (including compliance with accreditation conditions, implementation of data sharing purposes, nature and extent of commercial applications, data minimisation, consent practices, breaches involving or resulting from de-identification practices, etc.)</w:t>
            </w:r>
            <w:r>
              <w:rPr>
                <w:rFonts w:ascii="Arial" w:eastAsia="Arial" w:hAnsi="Arial" w:cs="Arial"/>
                <w:sz w:val="16"/>
                <w:szCs w:val="16"/>
              </w:rPr>
              <w:t>,</w:t>
            </w:r>
          </w:p>
          <w:p w:rsidR="00FD64C1" w:rsidRPr="00D90C29" w:rsidRDefault="00FD64C1" w:rsidP="00FD64C1">
            <w:pPr>
              <w:pStyle w:val="ListParagraph"/>
              <w:numPr>
                <w:ilvl w:val="0"/>
                <w:numId w:val="31"/>
              </w:numPr>
              <w:spacing w:after="0" w:line="273" w:lineRule="auto"/>
              <w:rPr>
                <w:rFonts w:ascii="Arial" w:eastAsia="Arial" w:hAnsi="Arial" w:cs="Arial"/>
                <w:sz w:val="16"/>
                <w:szCs w:val="16"/>
              </w:rPr>
            </w:pPr>
            <w:r w:rsidRPr="00D90C29">
              <w:rPr>
                <w:rFonts w:ascii="Arial" w:eastAsia="Arial" w:hAnsi="Arial" w:cs="Arial"/>
                <w:sz w:val="16"/>
                <w:szCs w:val="16"/>
              </w:rPr>
              <w:t>Monitoring changes in the operating environment brought about by technological and other change that may impact privacy</w:t>
            </w:r>
            <w:r>
              <w:rPr>
                <w:rFonts w:ascii="Arial" w:eastAsia="Arial" w:hAnsi="Arial" w:cs="Arial"/>
                <w:sz w:val="16"/>
                <w:szCs w:val="16"/>
              </w:rPr>
              <w:t>,</w:t>
            </w:r>
          </w:p>
          <w:p w:rsidR="00FD64C1" w:rsidRPr="00D90C29" w:rsidRDefault="00FD64C1" w:rsidP="00FD64C1">
            <w:pPr>
              <w:pStyle w:val="ListParagraph"/>
              <w:numPr>
                <w:ilvl w:val="0"/>
                <w:numId w:val="31"/>
              </w:numPr>
              <w:spacing w:after="0" w:line="273" w:lineRule="auto"/>
              <w:rPr>
                <w:rFonts w:ascii="Arial" w:eastAsia="Arial" w:hAnsi="Arial" w:cs="Arial"/>
                <w:sz w:val="16"/>
                <w:szCs w:val="16"/>
              </w:rPr>
            </w:pPr>
            <w:r w:rsidRPr="00D90C29">
              <w:rPr>
                <w:rFonts w:ascii="Arial" w:eastAsia="Arial" w:hAnsi="Arial" w:cs="Arial"/>
                <w:sz w:val="16"/>
                <w:szCs w:val="16"/>
              </w:rPr>
              <w:t>Addressing privacy impacts by: issuing new supporting guidance or amendments to existing guidance; issuing a data code; reporting concerns to the Minister; advising the Minister on matters requiring rules; proposing amendments during legislative review; any other appropriate measures, including enforcement against specific Data Scheme Entities.</w:t>
            </w:r>
          </w:p>
        </w:tc>
        <w:tc>
          <w:tcPr>
            <w:tcW w:w="1885" w:type="dxa"/>
            <w:tcBorders>
              <w:top w:val="single" w:sz="4" w:space="0" w:color="999999"/>
              <w:left w:val="single" w:sz="4" w:space="0" w:color="999999"/>
              <w:bottom w:val="single" w:sz="4" w:space="0" w:color="999999"/>
              <w:right w:val="single" w:sz="4" w:space="0" w:color="999999"/>
            </w:tcBorders>
            <w:shd w:val="clear" w:color="auto" w:fill="auto"/>
            <w:tcMar>
              <w:top w:w="99" w:type="dxa"/>
              <w:left w:w="99" w:type="dxa"/>
              <w:bottom w:w="99" w:type="dxa"/>
              <w:right w:w="99" w:type="dxa"/>
            </w:tcMar>
          </w:tcPr>
          <w:p w:rsidR="00FD64C1" w:rsidRPr="00FA6B66" w:rsidRDefault="00FD64C1" w:rsidP="00FD64C1">
            <w:pPr>
              <w:spacing w:after="0" w:line="273" w:lineRule="auto"/>
              <w:jc w:val="center"/>
              <w:rPr>
                <w:rFonts w:ascii="Arial" w:eastAsia="Arial" w:hAnsi="Arial" w:cs="Arial"/>
                <w:b/>
                <w:sz w:val="16"/>
                <w:szCs w:val="16"/>
              </w:rPr>
            </w:pPr>
            <w:r>
              <w:rPr>
                <w:rFonts w:ascii="Arial" w:eastAsia="Arial" w:hAnsi="Arial" w:cs="Arial"/>
                <w:b/>
                <w:sz w:val="16"/>
                <w:szCs w:val="16"/>
              </w:rPr>
              <w:t>Agree</w:t>
            </w:r>
          </w:p>
        </w:tc>
      </w:tr>
      <w:tr w:rsidR="00FD64C1" w:rsidRPr="00FA6B66" w:rsidTr="00FD64C1">
        <w:trPr>
          <w:jc w:val="center"/>
        </w:trPr>
        <w:tc>
          <w:tcPr>
            <w:tcW w:w="9251" w:type="dxa"/>
            <w:gridSpan w:val="2"/>
            <w:tcBorders>
              <w:top w:val="single" w:sz="4" w:space="0" w:color="999999"/>
              <w:left w:val="single" w:sz="4" w:space="0" w:color="999999"/>
              <w:bottom w:val="single" w:sz="4" w:space="0" w:color="999999"/>
              <w:right w:val="single" w:sz="4" w:space="0" w:color="999999"/>
            </w:tcBorders>
            <w:shd w:val="clear" w:color="auto" w:fill="auto"/>
            <w:tcMar>
              <w:top w:w="99" w:type="dxa"/>
              <w:left w:w="99" w:type="dxa"/>
              <w:bottom w:w="99" w:type="dxa"/>
              <w:right w:w="99" w:type="dxa"/>
            </w:tcMar>
          </w:tcPr>
          <w:p w:rsidR="00FD64C1" w:rsidRPr="00FA6B66" w:rsidRDefault="00FD64C1" w:rsidP="00FD64C1">
            <w:pPr>
              <w:spacing w:after="0" w:line="273" w:lineRule="auto"/>
              <w:rPr>
                <w:rFonts w:ascii="Arial" w:eastAsia="Arial" w:hAnsi="Arial" w:cs="Arial"/>
                <w:sz w:val="16"/>
                <w:szCs w:val="16"/>
              </w:rPr>
            </w:pPr>
            <w:r>
              <w:rPr>
                <w:rFonts w:ascii="Arial" w:eastAsia="Arial" w:hAnsi="Arial" w:cs="Arial"/>
                <w:b/>
                <w:sz w:val="16"/>
                <w:szCs w:val="16"/>
              </w:rPr>
              <w:t>PM&amp;C</w:t>
            </w:r>
            <w:r w:rsidRPr="00FA6B66">
              <w:rPr>
                <w:rFonts w:ascii="Arial" w:eastAsia="Arial" w:hAnsi="Arial" w:cs="Arial"/>
                <w:b/>
                <w:sz w:val="16"/>
                <w:szCs w:val="16"/>
              </w:rPr>
              <w:t xml:space="preserve"> Comment:</w:t>
            </w:r>
            <w:r w:rsidRPr="00FA6B66">
              <w:rPr>
                <w:rFonts w:ascii="Arial" w:eastAsia="Arial" w:hAnsi="Arial" w:cs="Arial"/>
                <w:sz w:val="16"/>
                <w:szCs w:val="16"/>
              </w:rPr>
              <w:t xml:space="preserve"> The Department agrees </w:t>
            </w:r>
            <w:r>
              <w:rPr>
                <w:rFonts w:ascii="Arial" w:eastAsia="Arial" w:hAnsi="Arial" w:cs="Arial"/>
                <w:sz w:val="16"/>
                <w:szCs w:val="16"/>
              </w:rPr>
              <w:t xml:space="preserve">and confirms the Office of the National Data Commissioner will develop a regulatory action plan to support the National Data Commissioner (NDC), once the Bill commences and the NDC becomes the scheme regulator.  </w:t>
            </w:r>
          </w:p>
        </w:tc>
      </w:tr>
      <w:tr w:rsidR="00FD64C1" w:rsidRPr="00FA6B66" w:rsidTr="00FD64C1">
        <w:trPr>
          <w:jc w:val="center"/>
        </w:trPr>
        <w:tc>
          <w:tcPr>
            <w:tcW w:w="7366" w:type="dxa"/>
            <w:tcBorders>
              <w:top w:val="single" w:sz="4" w:space="0" w:color="999999"/>
              <w:left w:val="single" w:sz="4" w:space="0" w:color="999999"/>
              <w:bottom w:val="single" w:sz="4" w:space="0" w:color="999999"/>
              <w:right w:val="single" w:sz="4" w:space="0" w:color="999999"/>
            </w:tcBorders>
            <w:shd w:val="clear" w:color="auto" w:fill="F3F3F3"/>
            <w:tcMar>
              <w:top w:w="99" w:type="dxa"/>
              <w:left w:w="99" w:type="dxa"/>
              <w:bottom w:w="99" w:type="dxa"/>
              <w:right w:w="99" w:type="dxa"/>
            </w:tcMar>
          </w:tcPr>
          <w:p w:rsidR="00FD64C1" w:rsidRDefault="00FD64C1" w:rsidP="00FD64C1">
            <w:pPr>
              <w:spacing w:after="0" w:line="273" w:lineRule="auto"/>
              <w:rPr>
                <w:rFonts w:ascii="Arial" w:eastAsia="Arial" w:hAnsi="Arial" w:cs="Arial"/>
                <w:sz w:val="16"/>
                <w:szCs w:val="16"/>
              </w:rPr>
            </w:pPr>
            <w:r w:rsidRPr="00FA6B66">
              <w:rPr>
                <w:rFonts w:ascii="Arial" w:eastAsia="Arial" w:hAnsi="Arial" w:cs="Arial"/>
                <w:b/>
                <w:sz w:val="16"/>
                <w:szCs w:val="16"/>
              </w:rPr>
              <w:t xml:space="preserve">Recommendation </w:t>
            </w:r>
            <w:r>
              <w:rPr>
                <w:rFonts w:ascii="Arial" w:eastAsia="Arial" w:hAnsi="Arial" w:cs="Arial"/>
                <w:b/>
                <w:sz w:val="16"/>
                <w:szCs w:val="16"/>
              </w:rPr>
              <w:t>10</w:t>
            </w:r>
            <w:r w:rsidRPr="00FA6B66">
              <w:rPr>
                <w:rFonts w:ascii="Arial" w:eastAsia="Arial" w:hAnsi="Arial" w:cs="Arial"/>
                <w:b/>
                <w:sz w:val="16"/>
                <w:szCs w:val="16"/>
              </w:rPr>
              <w:t>:</w:t>
            </w:r>
            <w:r w:rsidRPr="00FA6B66">
              <w:rPr>
                <w:rFonts w:ascii="Arial" w:eastAsia="Arial" w:hAnsi="Arial" w:cs="Arial"/>
                <w:sz w:val="16"/>
                <w:szCs w:val="16"/>
              </w:rPr>
              <w:t xml:space="preserve"> </w:t>
            </w:r>
            <w:r w:rsidRPr="00D90C29">
              <w:rPr>
                <w:rFonts w:ascii="Arial" w:eastAsia="Arial" w:hAnsi="Arial" w:cs="Arial"/>
                <w:sz w:val="16"/>
                <w:szCs w:val="16"/>
              </w:rPr>
              <w:t xml:space="preserve">Individuals to have access to simple arrangements for addressing privacy complaints and issues </w:t>
            </w:r>
          </w:p>
          <w:p w:rsidR="00FD64C1" w:rsidRPr="00D90C29" w:rsidRDefault="00FD64C1" w:rsidP="00FD64C1">
            <w:pPr>
              <w:spacing w:after="0" w:line="273" w:lineRule="auto"/>
              <w:rPr>
                <w:rFonts w:ascii="Arial" w:eastAsia="Arial" w:hAnsi="Arial" w:cs="Arial"/>
                <w:sz w:val="16"/>
                <w:szCs w:val="16"/>
              </w:rPr>
            </w:pPr>
            <w:r>
              <w:rPr>
                <w:rFonts w:ascii="Arial" w:eastAsia="Arial" w:hAnsi="Arial" w:cs="Arial"/>
                <w:sz w:val="16"/>
                <w:szCs w:val="16"/>
              </w:rPr>
              <w:br/>
            </w:r>
            <w:r w:rsidRPr="00D90C29">
              <w:rPr>
                <w:rFonts w:ascii="Arial" w:eastAsia="Arial" w:hAnsi="Arial" w:cs="Arial"/>
                <w:sz w:val="16"/>
                <w:szCs w:val="16"/>
              </w:rPr>
              <w:t>Work with the OAIC and other privacy regulators to ensure:</w:t>
            </w:r>
          </w:p>
          <w:p w:rsidR="00FD64C1" w:rsidRPr="00D90C29" w:rsidRDefault="00FD64C1" w:rsidP="00FD64C1">
            <w:pPr>
              <w:pStyle w:val="ListParagraph"/>
              <w:numPr>
                <w:ilvl w:val="0"/>
                <w:numId w:val="32"/>
              </w:numPr>
              <w:spacing w:after="0" w:line="273" w:lineRule="auto"/>
              <w:rPr>
                <w:rFonts w:ascii="Arial" w:eastAsia="Arial" w:hAnsi="Arial" w:cs="Arial"/>
                <w:sz w:val="16"/>
                <w:szCs w:val="16"/>
              </w:rPr>
            </w:pPr>
            <w:r w:rsidRPr="00D90C29">
              <w:rPr>
                <w:rFonts w:ascii="Arial" w:eastAsia="Arial" w:hAnsi="Arial" w:cs="Arial"/>
                <w:sz w:val="16"/>
                <w:szCs w:val="16"/>
              </w:rPr>
              <w:t xml:space="preserve">The interface between the </w:t>
            </w:r>
            <w:r>
              <w:rPr>
                <w:rFonts w:ascii="Arial" w:eastAsia="Arial" w:hAnsi="Arial" w:cs="Arial"/>
                <w:sz w:val="16"/>
                <w:szCs w:val="16"/>
              </w:rPr>
              <w:t>d</w:t>
            </w:r>
            <w:r w:rsidRPr="00D90C29">
              <w:rPr>
                <w:rFonts w:ascii="Arial" w:eastAsia="Arial" w:hAnsi="Arial" w:cs="Arial"/>
                <w:sz w:val="16"/>
                <w:szCs w:val="16"/>
              </w:rPr>
              <w:t xml:space="preserve">ata </w:t>
            </w:r>
            <w:r>
              <w:rPr>
                <w:rFonts w:ascii="Arial" w:eastAsia="Arial" w:hAnsi="Arial" w:cs="Arial"/>
                <w:sz w:val="16"/>
                <w:szCs w:val="16"/>
              </w:rPr>
              <w:t>s</w:t>
            </w:r>
            <w:r w:rsidRPr="00D90C29">
              <w:rPr>
                <w:rFonts w:ascii="Arial" w:eastAsia="Arial" w:hAnsi="Arial" w:cs="Arial"/>
                <w:sz w:val="16"/>
                <w:szCs w:val="16"/>
              </w:rPr>
              <w:t xml:space="preserve">haring </w:t>
            </w:r>
            <w:r>
              <w:rPr>
                <w:rFonts w:ascii="Arial" w:eastAsia="Arial" w:hAnsi="Arial" w:cs="Arial"/>
                <w:sz w:val="16"/>
                <w:szCs w:val="16"/>
              </w:rPr>
              <w:t>s</w:t>
            </w:r>
            <w:r w:rsidRPr="00D90C29">
              <w:rPr>
                <w:rFonts w:ascii="Arial" w:eastAsia="Arial" w:hAnsi="Arial" w:cs="Arial"/>
                <w:sz w:val="16"/>
                <w:szCs w:val="16"/>
              </w:rPr>
              <w:t xml:space="preserve">cheme and individuals is simple and effective </w:t>
            </w:r>
          </w:p>
          <w:p w:rsidR="00FD64C1" w:rsidRPr="00B34BCD" w:rsidRDefault="00FD64C1" w:rsidP="00FD64C1">
            <w:pPr>
              <w:pStyle w:val="ListParagraph"/>
              <w:numPr>
                <w:ilvl w:val="0"/>
                <w:numId w:val="27"/>
              </w:numPr>
              <w:spacing w:after="0" w:line="273" w:lineRule="auto"/>
              <w:rPr>
                <w:rFonts w:ascii="Arial" w:eastAsia="Arial" w:hAnsi="Arial" w:cs="Arial"/>
                <w:sz w:val="16"/>
                <w:szCs w:val="16"/>
              </w:rPr>
            </w:pPr>
            <w:r w:rsidRPr="00D90C29">
              <w:rPr>
                <w:rFonts w:ascii="Arial" w:eastAsia="Arial" w:hAnsi="Arial" w:cs="Arial"/>
                <w:sz w:val="16"/>
                <w:szCs w:val="16"/>
              </w:rPr>
              <w:t xml:space="preserve">There are simple and effective mechanisms in place to enable individuals to find information about the </w:t>
            </w:r>
            <w:r>
              <w:rPr>
                <w:rFonts w:ascii="Arial" w:eastAsia="Arial" w:hAnsi="Arial" w:cs="Arial"/>
                <w:sz w:val="16"/>
                <w:szCs w:val="16"/>
              </w:rPr>
              <w:t>d</w:t>
            </w:r>
            <w:r w:rsidRPr="00D90C29">
              <w:rPr>
                <w:rFonts w:ascii="Arial" w:eastAsia="Arial" w:hAnsi="Arial" w:cs="Arial"/>
                <w:sz w:val="16"/>
                <w:szCs w:val="16"/>
              </w:rPr>
              <w:t xml:space="preserve">ata </w:t>
            </w:r>
            <w:r>
              <w:rPr>
                <w:rFonts w:ascii="Arial" w:eastAsia="Arial" w:hAnsi="Arial" w:cs="Arial"/>
                <w:sz w:val="16"/>
                <w:szCs w:val="16"/>
              </w:rPr>
              <w:t>s</w:t>
            </w:r>
            <w:r w:rsidRPr="00D90C29">
              <w:rPr>
                <w:rFonts w:ascii="Arial" w:eastAsia="Arial" w:hAnsi="Arial" w:cs="Arial"/>
                <w:sz w:val="16"/>
                <w:szCs w:val="16"/>
              </w:rPr>
              <w:t xml:space="preserve">haring </w:t>
            </w:r>
            <w:r>
              <w:rPr>
                <w:rFonts w:ascii="Arial" w:eastAsia="Arial" w:hAnsi="Arial" w:cs="Arial"/>
                <w:sz w:val="16"/>
                <w:szCs w:val="16"/>
              </w:rPr>
              <w:t>s</w:t>
            </w:r>
            <w:r w:rsidRPr="00D90C29">
              <w:rPr>
                <w:rFonts w:ascii="Arial" w:eastAsia="Arial" w:hAnsi="Arial" w:cs="Arial"/>
                <w:sz w:val="16"/>
                <w:szCs w:val="16"/>
              </w:rPr>
              <w:t>cheme and assert their privacy rights. This may include a ‘no wrong door’ policy and swift transfer of enquiries or complaints to the appropriate entity (whether that be a data scheme entity or the privacy regulator).</w:t>
            </w:r>
          </w:p>
        </w:tc>
        <w:tc>
          <w:tcPr>
            <w:tcW w:w="1885" w:type="dxa"/>
            <w:tcBorders>
              <w:top w:val="single" w:sz="4" w:space="0" w:color="999999"/>
              <w:left w:val="single" w:sz="4" w:space="0" w:color="999999"/>
              <w:bottom w:val="single" w:sz="4" w:space="0" w:color="999999"/>
              <w:right w:val="single" w:sz="4" w:space="0" w:color="999999"/>
            </w:tcBorders>
            <w:shd w:val="clear" w:color="auto" w:fill="auto"/>
            <w:tcMar>
              <w:top w:w="99" w:type="dxa"/>
              <w:left w:w="99" w:type="dxa"/>
              <w:bottom w:w="99" w:type="dxa"/>
              <w:right w:w="99" w:type="dxa"/>
            </w:tcMar>
          </w:tcPr>
          <w:p w:rsidR="00FD64C1" w:rsidRPr="00FA6B66" w:rsidRDefault="00FD64C1" w:rsidP="00FD64C1">
            <w:pPr>
              <w:spacing w:after="0" w:line="273" w:lineRule="auto"/>
              <w:jc w:val="center"/>
              <w:rPr>
                <w:rFonts w:ascii="Arial" w:eastAsia="Arial" w:hAnsi="Arial" w:cs="Arial"/>
                <w:b/>
                <w:sz w:val="16"/>
                <w:szCs w:val="16"/>
              </w:rPr>
            </w:pPr>
            <w:r w:rsidRPr="00FA6B66">
              <w:rPr>
                <w:rFonts w:ascii="Arial" w:eastAsia="Arial" w:hAnsi="Arial" w:cs="Arial"/>
                <w:b/>
                <w:sz w:val="16"/>
                <w:szCs w:val="16"/>
              </w:rPr>
              <w:t>Agree</w:t>
            </w:r>
          </w:p>
        </w:tc>
      </w:tr>
      <w:tr w:rsidR="00FD64C1" w:rsidRPr="00FA6B66" w:rsidTr="00FD64C1">
        <w:trPr>
          <w:jc w:val="center"/>
        </w:trPr>
        <w:tc>
          <w:tcPr>
            <w:tcW w:w="9251" w:type="dxa"/>
            <w:gridSpan w:val="2"/>
            <w:tcBorders>
              <w:top w:val="single" w:sz="4" w:space="0" w:color="999999"/>
              <w:left w:val="single" w:sz="4" w:space="0" w:color="999999"/>
              <w:bottom w:val="single" w:sz="4" w:space="0" w:color="999999"/>
              <w:right w:val="single" w:sz="4" w:space="0" w:color="999999"/>
            </w:tcBorders>
            <w:shd w:val="clear" w:color="auto" w:fill="auto"/>
            <w:tcMar>
              <w:top w:w="99" w:type="dxa"/>
              <w:left w:w="99" w:type="dxa"/>
              <w:bottom w:w="99" w:type="dxa"/>
              <w:right w:w="99" w:type="dxa"/>
            </w:tcMar>
          </w:tcPr>
          <w:p w:rsidR="00FD64C1" w:rsidRPr="00FA6B66" w:rsidRDefault="00FD64C1" w:rsidP="00FD64C1">
            <w:pPr>
              <w:spacing w:after="0" w:line="273" w:lineRule="auto"/>
              <w:rPr>
                <w:rFonts w:ascii="Arial" w:eastAsia="Arial" w:hAnsi="Arial" w:cs="Arial"/>
                <w:sz w:val="16"/>
                <w:szCs w:val="16"/>
              </w:rPr>
            </w:pPr>
            <w:r>
              <w:rPr>
                <w:rFonts w:ascii="Arial" w:eastAsia="Arial" w:hAnsi="Arial" w:cs="Arial"/>
                <w:b/>
                <w:sz w:val="16"/>
                <w:szCs w:val="16"/>
              </w:rPr>
              <w:t>PM&amp;C</w:t>
            </w:r>
            <w:r w:rsidRPr="00FA6B66">
              <w:rPr>
                <w:rFonts w:ascii="Arial" w:eastAsia="Arial" w:hAnsi="Arial" w:cs="Arial"/>
                <w:b/>
                <w:sz w:val="16"/>
                <w:szCs w:val="16"/>
              </w:rPr>
              <w:t xml:space="preserve"> Comment:</w:t>
            </w:r>
            <w:r w:rsidRPr="00FA6B66">
              <w:rPr>
                <w:rFonts w:ascii="Arial" w:eastAsia="Arial" w:hAnsi="Arial" w:cs="Arial"/>
                <w:sz w:val="16"/>
                <w:szCs w:val="16"/>
              </w:rPr>
              <w:t xml:space="preserve"> The Department agrees </w:t>
            </w:r>
            <w:r>
              <w:rPr>
                <w:rFonts w:ascii="Arial" w:eastAsia="Arial" w:hAnsi="Arial" w:cs="Arial"/>
                <w:sz w:val="16"/>
                <w:szCs w:val="16"/>
              </w:rPr>
              <w:t xml:space="preserve">and has been working closely with the Attorney-General’s Department and the OAIC to avoid regulatory duplication and provide clarity around regulatory remits. The Bill includes mechanisms to enable transfer of complaints and information sharing with the OAIC and other oversight bodies. These mechanisms support the ‘no wrong door’ approach and facilitate streamlined arrangements between the NDC and other oversight bodies, including the OAIC. The Department will continue to work with the OAIC on implementation of the scheme, including arrangements making use of these provisions. </w:t>
            </w:r>
          </w:p>
        </w:tc>
      </w:tr>
      <w:tr w:rsidR="00FD64C1" w:rsidRPr="00FA6B66" w:rsidTr="00FD64C1">
        <w:trPr>
          <w:jc w:val="center"/>
        </w:trPr>
        <w:tc>
          <w:tcPr>
            <w:tcW w:w="7366" w:type="dxa"/>
            <w:tcBorders>
              <w:top w:val="single" w:sz="4" w:space="0" w:color="999999"/>
              <w:left w:val="single" w:sz="4" w:space="0" w:color="999999"/>
              <w:bottom w:val="single" w:sz="4" w:space="0" w:color="999999"/>
              <w:right w:val="single" w:sz="4" w:space="0" w:color="999999"/>
            </w:tcBorders>
            <w:shd w:val="clear" w:color="auto" w:fill="F3F3F3"/>
            <w:tcMar>
              <w:top w:w="99" w:type="dxa"/>
              <w:left w:w="99" w:type="dxa"/>
              <w:bottom w:w="99" w:type="dxa"/>
              <w:right w:w="99" w:type="dxa"/>
            </w:tcMar>
          </w:tcPr>
          <w:p w:rsidR="00FD64C1" w:rsidRPr="00FA6B66" w:rsidRDefault="00FD64C1" w:rsidP="00FD64C1">
            <w:pPr>
              <w:spacing w:line="273" w:lineRule="auto"/>
              <w:rPr>
                <w:rFonts w:ascii="Arial" w:eastAsia="Arial" w:hAnsi="Arial" w:cs="Arial"/>
                <w:sz w:val="16"/>
                <w:szCs w:val="16"/>
              </w:rPr>
            </w:pPr>
            <w:r w:rsidRPr="00FA6B66">
              <w:rPr>
                <w:rFonts w:ascii="Arial" w:eastAsia="Arial" w:hAnsi="Arial" w:cs="Arial"/>
                <w:b/>
                <w:sz w:val="16"/>
                <w:szCs w:val="16"/>
              </w:rPr>
              <w:t xml:space="preserve">Recommendation </w:t>
            </w:r>
            <w:r>
              <w:rPr>
                <w:rFonts w:ascii="Arial" w:eastAsia="Arial" w:hAnsi="Arial" w:cs="Arial"/>
                <w:b/>
                <w:sz w:val="16"/>
                <w:szCs w:val="16"/>
              </w:rPr>
              <w:t>11</w:t>
            </w:r>
            <w:r w:rsidRPr="00FA6B66">
              <w:rPr>
                <w:rFonts w:ascii="Arial" w:eastAsia="Arial" w:hAnsi="Arial" w:cs="Arial"/>
                <w:b/>
                <w:sz w:val="16"/>
                <w:szCs w:val="16"/>
              </w:rPr>
              <w:t xml:space="preserve">: </w:t>
            </w:r>
            <w:r w:rsidRPr="00D90C29">
              <w:rPr>
                <w:rFonts w:ascii="Arial" w:eastAsia="Arial" w:hAnsi="Arial" w:cs="Arial"/>
                <w:sz w:val="16"/>
                <w:szCs w:val="16"/>
              </w:rPr>
              <w:t>Measure and report on individuals’ interaction with the scheme</w:t>
            </w:r>
            <w:r>
              <w:rPr>
                <w:rFonts w:ascii="Arial" w:eastAsia="Arial" w:hAnsi="Arial" w:cs="Arial"/>
                <w:sz w:val="16"/>
                <w:szCs w:val="16"/>
              </w:rPr>
              <w:t>.</w:t>
            </w:r>
          </w:p>
          <w:p w:rsidR="00FD64C1" w:rsidRPr="00D90C29" w:rsidRDefault="00FD64C1" w:rsidP="00FD64C1">
            <w:pPr>
              <w:spacing w:after="0" w:line="273" w:lineRule="auto"/>
              <w:rPr>
                <w:rFonts w:ascii="Arial" w:eastAsia="Arial" w:hAnsi="Arial" w:cs="Arial"/>
                <w:sz w:val="16"/>
                <w:szCs w:val="16"/>
              </w:rPr>
            </w:pPr>
            <w:r w:rsidRPr="00D90C29">
              <w:rPr>
                <w:rFonts w:ascii="Arial" w:eastAsia="Arial" w:hAnsi="Arial" w:cs="Arial"/>
                <w:sz w:val="16"/>
                <w:szCs w:val="16"/>
              </w:rPr>
              <w:t xml:space="preserve">Work with the OAIC to develop indicators and to measure individuals’ interaction with the scheme to check their ability to navigate privacy issues and seek help or remedies. This could include gathering information on the number and nature of: </w:t>
            </w:r>
          </w:p>
          <w:p w:rsidR="00FD64C1" w:rsidRPr="00D90C29" w:rsidRDefault="00FD64C1" w:rsidP="00FD64C1">
            <w:pPr>
              <w:pStyle w:val="ListParagraph"/>
              <w:numPr>
                <w:ilvl w:val="0"/>
                <w:numId w:val="27"/>
              </w:numPr>
              <w:spacing w:after="0" w:line="273" w:lineRule="auto"/>
              <w:rPr>
                <w:rFonts w:ascii="Arial" w:eastAsia="Arial" w:hAnsi="Arial" w:cs="Arial"/>
                <w:sz w:val="16"/>
                <w:szCs w:val="16"/>
              </w:rPr>
            </w:pPr>
            <w:r w:rsidRPr="00D90C29">
              <w:rPr>
                <w:rFonts w:ascii="Arial" w:eastAsia="Arial" w:hAnsi="Arial" w:cs="Arial"/>
                <w:sz w:val="16"/>
                <w:szCs w:val="16"/>
              </w:rPr>
              <w:t>Privacy enquiries the NDC receives</w:t>
            </w:r>
            <w:r>
              <w:rPr>
                <w:rFonts w:ascii="Arial" w:eastAsia="Arial" w:hAnsi="Arial" w:cs="Arial"/>
                <w:sz w:val="16"/>
                <w:szCs w:val="16"/>
              </w:rPr>
              <w:t>,</w:t>
            </w:r>
          </w:p>
          <w:p w:rsidR="00FD64C1" w:rsidRPr="00D90C29" w:rsidRDefault="00FD64C1" w:rsidP="00FD64C1">
            <w:pPr>
              <w:pStyle w:val="ListParagraph"/>
              <w:numPr>
                <w:ilvl w:val="0"/>
                <w:numId w:val="27"/>
              </w:numPr>
              <w:spacing w:after="0" w:line="273" w:lineRule="auto"/>
              <w:rPr>
                <w:rFonts w:ascii="Arial" w:eastAsia="Arial" w:hAnsi="Arial" w:cs="Arial"/>
                <w:sz w:val="16"/>
                <w:szCs w:val="16"/>
              </w:rPr>
            </w:pPr>
            <w:r w:rsidRPr="00D90C29">
              <w:rPr>
                <w:rFonts w:ascii="Arial" w:eastAsia="Arial" w:hAnsi="Arial" w:cs="Arial"/>
                <w:sz w:val="16"/>
                <w:szCs w:val="16"/>
              </w:rPr>
              <w:t>Privacy inquiries or complaints the NDC transfers to a data scheme entity</w:t>
            </w:r>
            <w:r>
              <w:rPr>
                <w:rFonts w:ascii="Arial" w:eastAsia="Arial" w:hAnsi="Arial" w:cs="Arial"/>
                <w:sz w:val="16"/>
                <w:szCs w:val="16"/>
              </w:rPr>
              <w:t>,</w:t>
            </w:r>
          </w:p>
          <w:p w:rsidR="00FD64C1" w:rsidRPr="00D90C29" w:rsidRDefault="00FD64C1" w:rsidP="00FD64C1">
            <w:pPr>
              <w:pStyle w:val="ListParagraph"/>
              <w:numPr>
                <w:ilvl w:val="0"/>
                <w:numId w:val="27"/>
              </w:numPr>
              <w:spacing w:after="0" w:line="273" w:lineRule="auto"/>
              <w:rPr>
                <w:rFonts w:ascii="Arial" w:eastAsia="Arial" w:hAnsi="Arial" w:cs="Arial"/>
                <w:sz w:val="16"/>
                <w:szCs w:val="16"/>
              </w:rPr>
            </w:pPr>
            <w:r w:rsidRPr="00D90C29">
              <w:rPr>
                <w:rFonts w:ascii="Arial" w:eastAsia="Arial" w:hAnsi="Arial" w:cs="Arial"/>
                <w:sz w:val="16"/>
                <w:szCs w:val="16"/>
              </w:rPr>
              <w:t>Privacy enquiries the OAIC receives about the scheme</w:t>
            </w:r>
            <w:r>
              <w:rPr>
                <w:rFonts w:ascii="Arial" w:eastAsia="Arial" w:hAnsi="Arial" w:cs="Arial"/>
                <w:sz w:val="16"/>
                <w:szCs w:val="16"/>
              </w:rPr>
              <w:t>,</w:t>
            </w:r>
          </w:p>
          <w:p w:rsidR="00FD64C1" w:rsidRPr="00D90C29" w:rsidRDefault="00FD64C1" w:rsidP="00FD64C1">
            <w:pPr>
              <w:pStyle w:val="ListParagraph"/>
              <w:numPr>
                <w:ilvl w:val="0"/>
                <w:numId w:val="27"/>
              </w:numPr>
              <w:spacing w:after="0" w:line="273" w:lineRule="auto"/>
              <w:rPr>
                <w:rFonts w:ascii="Arial" w:eastAsia="Arial" w:hAnsi="Arial" w:cs="Arial"/>
                <w:sz w:val="16"/>
                <w:szCs w:val="16"/>
              </w:rPr>
            </w:pPr>
            <w:r w:rsidRPr="00D90C29">
              <w:rPr>
                <w:rFonts w:ascii="Arial" w:eastAsia="Arial" w:hAnsi="Arial" w:cs="Arial"/>
                <w:sz w:val="16"/>
                <w:szCs w:val="16"/>
              </w:rPr>
              <w:t>Privacy complaints the OAIC resolves</w:t>
            </w:r>
            <w:r>
              <w:rPr>
                <w:rFonts w:ascii="Arial" w:eastAsia="Arial" w:hAnsi="Arial" w:cs="Arial"/>
                <w:sz w:val="16"/>
                <w:szCs w:val="16"/>
              </w:rPr>
              <w:t>,</w:t>
            </w:r>
          </w:p>
          <w:p w:rsidR="00FD64C1" w:rsidRPr="00D90C29" w:rsidRDefault="00FD64C1" w:rsidP="00FD64C1">
            <w:pPr>
              <w:pStyle w:val="ListParagraph"/>
              <w:numPr>
                <w:ilvl w:val="0"/>
                <w:numId w:val="27"/>
              </w:numPr>
              <w:spacing w:after="0" w:line="273" w:lineRule="auto"/>
              <w:rPr>
                <w:rFonts w:ascii="Arial" w:eastAsia="Arial" w:hAnsi="Arial" w:cs="Arial"/>
                <w:sz w:val="16"/>
                <w:szCs w:val="16"/>
              </w:rPr>
            </w:pPr>
            <w:r w:rsidRPr="00D90C29">
              <w:rPr>
                <w:rFonts w:ascii="Arial" w:eastAsia="Arial" w:hAnsi="Arial" w:cs="Arial"/>
                <w:sz w:val="16"/>
                <w:szCs w:val="16"/>
              </w:rPr>
              <w:t>Other metrics that give insight into the operation of the scheme with respect to individuals</w:t>
            </w:r>
            <w:r>
              <w:rPr>
                <w:rFonts w:ascii="Arial" w:eastAsia="Arial" w:hAnsi="Arial" w:cs="Arial"/>
                <w:sz w:val="16"/>
                <w:szCs w:val="16"/>
              </w:rPr>
              <w:t>,</w:t>
            </w:r>
          </w:p>
          <w:p w:rsidR="00FD64C1" w:rsidRPr="00B34BCD" w:rsidRDefault="00FD64C1" w:rsidP="00FD64C1">
            <w:pPr>
              <w:pStyle w:val="ListParagraph"/>
              <w:numPr>
                <w:ilvl w:val="0"/>
                <w:numId w:val="28"/>
              </w:numPr>
              <w:spacing w:after="0" w:line="273" w:lineRule="auto"/>
              <w:rPr>
                <w:rFonts w:ascii="Arial" w:eastAsia="Arial" w:hAnsi="Arial" w:cs="Arial"/>
                <w:sz w:val="16"/>
                <w:szCs w:val="16"/>
              </w:rPr>
            </w:pPr>
            <w:r w:rsidRPr="00D90C29">
              <w:rPr>
                <w:rFonts w:ascii="Arial" w:eastAsia="Arial" w:hAnsi="Arial" w:cs="Arial"/>
                <w:sz w:val="16"/>
                <w:szCs w:val="16"/>
              </w:rPr>
              <w:t>Report metrics in the appropriate annual report (either the NDC or the OAIC).</w:t>
            </w:r>
          </w:p>
        </w:tc>
        <w:tc>
          <w:tcPr>
            <w:tcW w:w="1885" w:type="dxa"/>
            <w:tcBorders>
              <w:top w:val="single" w:sz="4" w:space="0" w:color="999999"/>
              <w:left w:val="single" w:sz="4" w:space="0" w:color="999999"/>
              <w:bottom w:val="single" w:sz="4" w:space="0" w:color="999999"/>
              <w:right w:val="single" w:sz="4" w:space="0" w:color="999999"/>
            </w:tcBorders>
            <w:shd w:val="clear" w:color="auto" w:fill="auto"/>
            <w:tcMar>
              <w:top w:w="99" w:type="dxa"/>
              <w:left w:w="99" w:type="dxa"/>
              <w:bottom w:w="99" w:type="dxa"/>
              <w:right w:w="99" w:type="dxa"/>
            </w:tcMar>
          </w:tcPr>
          <w:p w:rsidR="00FD64C1" w:rsidRPr="00FA6B66" w:rsidRDefault="00FD64C1" w:rsidP="00FD64C1">
            <w:pPr>
              <w:spacing w:after="0" w:line="273" w:lineRule="auto"/>
              <w:jc w:val="center"/>
              <w:rPr>
                <w:rFonts w:ascii="Arial" w:eastAsia="Arial" w:hAnsi="Arial" w:cs="Arial"/>
                <w:b/>
                <w:sz w:val="16"/>
                <w:szCs w:val="16"/>
              </w:rPr>
            </w:pPr>
            <w:r>
              <w:rPr>
                <w:rFonts w:ascii="Arial" w:eastAsia="Arial" w:hAnsi="Arial" w:cs="Arial"/>
                <w:b/>
                <w:sz w:val="16"/>
                <w:szCs w:val="16"/>
              </w:rPr>
              <w:t>Agree in principle</w:t>
            </w:r>
          </w:p>
        </w:tc>
      </w:tr>
      <w:tr w:rsidR="00FD64C1" w:rsidRPr="00FA6B66" w:rsidTr="00FD64C1">
        <w:trPr>
          <w:jc w:val="center"/>
        </w:trPr>
        <w:tc>
          <w:tcPr>
            <w:tcW w:w="9251" w:type="dxa"/>
            <w:gridSpan w:val="2"/>
            <w:tcBorders>
              <w:top w:val="single" w:sz="4" w:space="0" w:color="999999"/>
              <w:left w:val="single" w:sz="4" w:space="0" w:color="999999"/>
              <w:bottom w:val="single" w:sz="4" w:space="0" w:color="999999"/>
              <w:right w:val="single" w:sz="4" w:space="0" w:color="999999"/>
            </w:tcBorders>
            <w:shd w:val="clear" w:color="auto" w:fill="auto"/>
            <w:tcMar>
              <w:top w:w="99" w:type="dxa"/>
              <w:left w:w="99" w:type="dxa"/>
              <w:bottom w:w="99" w:type="dxa"/>
              <w:right w:w="99" w:type="dxa"/>
            </w:tcMar>
          </w:tcPr>
          <w:p w:rsidR="00FD64C1" w:rsidRPr="00FA6B66" w:rsidRDefault="00FD64C1" w:rsidP="00FD64C1">
            <w:pPr>
              <w:spacing w:after="0" w:line="273" w:lineRule="auto"/>
              <w:rPr>
                <w:rFonts w:ascii="Arial" w:eastAsia="Arial" w:hAnsi="Arial" w:cs="Arial"/>
                <w:sz w:val="16"/>
                <w:szCs w:val="16"/>
              </w:rPr>
            </w:pPr>
            <w:r>
              <w:rPr>
                <w:rFonts w:ascii="Arial" w:eastAsia="Arial" w:hAnsi="Arial" w:cs="Arial"/>
                <w:b/>
                <w:sz w:val="16"/>
                <w:szCs w:val="16"/>
              </w:rPr>
              <w:t>PM&amp;C</w:t>
            </w:r>
            <w:r w:rsidRPr="00FA6B66">
              <w:rPr>
                <w:rFonts w:ascii="Arial" w:eastAsia="Arial" w:hAnsi="Arial" w:cs="Arial"/>
                <w:b/>
                <w:sz w:val="16"/>
                <w:szCs w:val="16"/>
              </w:rPr>
              <w:t xml:space="preserve"> Comment:</w:t>
            </w:r>
            <w:r w:rsidRPr="00FA6B66">
              <w:rPr>
                <w:rFonts w:ascii="Arial" w:eastAsia="Arial" w:hAnsi="Arial" w:cs="Arial"/>
                <w:sz w:val="16"/>
                <w:szCs w:val="16"/>
              </w:rPr>
              <w:t xml:space="preserve"> The Department agrees</w:t>
            </w:r>
            <w:r>
              <w:rPr>
                <w:rFonts w:ascii="Arial" w:eastAsia="Arial" w:hAnsi="Arial" w:cs="Arial"/>
                <w:sz w:val="16"/>
                <w:szCs w:val="16"/>
              </w:rPr>
              <w:t xml:space="preserve"> in principle</w:t>
            </w:r>
            <w:r w:rsidRPr="00FA6B66">
              <w:rPr>
                <w:rFonts w:ascii="Arial" w:eastAsia="Arial" w:hAnsi="Arial" w:cs="Arial"/>
                <w:sz w:val="16"/>
                <w:szCs w:val="16"/>
              </w:rPr>
              <w:t xml:space="preserve"> </w:t>
            </w:r>
            <w:r>
              <w:rPr>
                <w:rFonts w:ascii="Arial" w:eastAsia="Arial" w:hAnsi="Arial" w:cs="Arial"/>
                <w:sz w:val="16"/>
                <w:szCs w:val="16"/>
              </w:rPr>
              <w:t xml:space="preserve">and will implement reporting obligations, including annual reporting. Reporting is intended to cover the interactions of individuals with the data sharing scheme, within legal and other constraints. The Department will work with the OAIC on developing indicators and measures </w:t>
            </w:r>
            <w:r w:rsidRPr="00641EC0">
              <w:rPr>
                <w:rFonts w:ascii="Arial" w:eastAsia="Arial" w:hAnsi="Arial" w:cs="Arial"/>
                <w:sz w:val="16"/>
                <w:szCs w:val="16"/>
              </w:rPr>
              <w:t>that align with the reporting requirements of the data sharing scheme and with the OAIC’s information sharing powers.</w:t>
            </w:r>
          </w:p>
        </w:tc>
      </w:tr>
      <w:tr w:rsidR="00FD64C1" w:rsidRPr="00FA6B66" w:rsidTr="00FD64C1">
        <w:trPr>
          <w:jc w:val="center"/>
        </w:trPr>
        <w:tc>
          <w:tcPr>
            <w:tcW w:w="7366" w:type="dxa"/>
            <w:tcBorders>
              <w:top w:val="single" w:sz="4" w:space="0" w:color="999999"/>
              <w:left w:val="single" w:sz="4" w:space="0" w:color="999999"/>
              <w:bottom w:val="single" w:sz="4" w:space="0" w:color="999999"/>
              <w:right w:val="single" w:sz="4" w:space="0" w:color="999999"/>
            </w:tcBorders>
            <w:shd w:val="clear" w:color="auto" w:fill="F3F3F3"/>
            <w:tcMar>
              <w:top w:w="99" w:type="dxa"/>
              <w:left w:w="99" w:type="dxa"/>
              <w:bottom w:w="99" w:type="dxa"/>
              <w:right w:w="99" w:type="dxa"/>
            </w:tcMar>
          </w:tcPr>
          <w:p w:rsidR="00FD64C1" w:rsidRPr="00FA6B66" w:rsidRDefault="00FD64C1" w:rsidP="00FD64C1">
            <w:pPr>
              <w:spacing w:line="273" w:lineRule="auto"/>
              <w:rPr>
                <w:rFonts w:ascii="Arial" w:eastAsia="Arial" w:hAnsi="Arial" w:cs="Arial"/>
                <w:sz w:val="16"/>
                <w:szCs w:val="16"/>
              </w:rPr>
            </w:pPr>
            <w:r w:rsidRPr="00FA6B66">
              <w:rPr>
                <w:rFonts w:ascii="Arial" w:eastAsia="Arial" w:hAnsi="Arial" w:cs="Arial"/>
                <w:b/>
                <w:sz w:val="16"/>
                <w:szCs w:val="16"/>
              </w:rPr>
              <w:t xml:space="preserve">Recommendation </w:t>
            </w:r>
            <w:r>
              <w:rPr>
                <w:rFonts w:ascii="Arial" w:eastAsia="Arial" w:hAnsi="Arial" w:cs="Arial"/>
                <w:b/>
                <w:sz w:val="16"/>
                <w:szCs w:val="16"/>
              </w:rPr>
              <w:t>12</w:t>
            </w:r>
            <w:r w:rsidRPr="00FA6B66">
              <w:rPr>
                <w:rFonts w:ascii="Arial" w:eastAsia="Arial" w:hAnsi="Arial" w:cs="Arial"/>
                <w:b/>
                <w:sz w:val="16"/>
                <w:szCs w:val="16"/>
              </w:rPr>
              <w:t>:</w:t>
            </w:r>
            <w:r w:rsidRPr="00FA6B66">
              <w:rPr>
                <w:rFonts w:ascii="Arial" w:eastAsia="Arial" w:hAnsi="Arial" w:cs="Arial"/>
                <w:sz w:val="16"/>
                <w:szCs w:val="16"/>
              </w:rPr>
              <w:t xml:space="preserve"> </w:t>
            </w:r>
            <w:r w:rsidRPr="00D90C29">
              <w:rPr>
                <w:rFonts w:ascii="Arial" w:eastAsia="Arial" w:hAnsi="Arial" w:cs="Arial"/>
                <w:sz w:val="16"/>
                <w:szCs w:val="16"/>
              </w:rPr>
              <w:t xml:space="preserve">Allow for shortening the period for review of </w:t>
            </w:r>
            <w:r>
              <w:rPr>
                <w:rFonts w:ascii="Arial" w:eastAsia="Arial" w:hAnsi="Arial" w:cs="Arial"/>
                <w:sz w:val="16"/>
                <w:szCs w:val="16"/>
              </w:rPr>
              <w:t>the Act and make reviews public.</w:t>
            </w:r>
          </w:p>
          <w:p w:rsidR="00FD64C1" w:rsidRPr="0012331A" w:rsidRDefault="00FD64C1" w:rsidP="00FD64C1">
            <w:pPr>
              <w:spacing w:after="0" w:line="273" w:lineRule="auto"/>
              <w:rPr>
                <w:rFonts w:ascii="Arial" w:eastAsia="Arial" w:hAnsi="Arial" w:cs="Arial"/>
                <w:sz w:val="16"/>
                <w:szCs w:val="16"/>
              </w:rPr>
            </w:pPr>
            <w:r w:rsidRPr="00242FD6">
              <w:rPr>
                <w:rFonts w:ascii="Arial" w:eastAsia="Arial" w:hAnsi="Arial" w:cs="Arial"/>
                <w:sz w:val="16"/>
                <w:szCs w:val="16"/>
              </w:rPr>
              <w:t xml:space="preserve">Retain the initial review of no later than three years after commencement. </w:t>
            </w:r>
            <w:r w:rsidRPr="0012331A">
              <w:rPr>
                <w:rFonts w:ascii="Arial" w:eastAsia="Arial" w:hAnsi="Arial" w:cs="Arial"/>
                <w:sz w:val="16"/>
                <w:szCs w:val="16"/>
              </w:rPr>
              <w:t>The initial review</w:t>
            </w:r>
            <w:r>
              <w:t xml:space="preserve"> </w:t>
            </w:r>
            <w:r w:rsidRPr="0012331A">
              <w:rPr>
                <w:rFonts w:ascii="Arial" w:eastAsia="Arial" w:hAnsi="Arial" w:cs="Arial"/>
                <w:sz w:val="16"/>
                <w:szCs w:val="16"/>
              </w:rPr>
              <w:t xml:space="preserve">should focus on whether the provisions establishing the </w:t>
            </w:r>
            <w:r>
              <w:rPr>
                <w:rFonts w:ascii="Arial" w:eastAsia="Arial" w:hAnsi="Arial" w:cs="Arial"/>
                <w:sz w:val="16"/>
                <w:szCs w:val="16"/>
              </w:rPr>
              <w:t>d</w:t>
            </w:r>
            <w:r w:rsidRPr="0012331A">
              <w:rPr>
                <w:rFonts w:ascii="Arial" w:eastAsia="Arial" w:hAnsi="Arial" w:cs="Arial"/>
                <w:sz w:val="16"/>
                <w:szCs w:val="16"/>
              </w:rPr>
              <w:t xml:space="preserve">ata </w:t>
            </w:r>
            <w:r>
              <w:rPr>
                <w:rFonts w:ascii="Arial" w:eastAsia="Arial" w:hAnsi="Arial" w:cs="Arial"/>
                <w:sz w:val="16"/>
                <w:szCs w:val="16"/>
              </w:rPr>
              <w:t>s</w:t>
            </w:r>
            <w:r w:rsidRPr="0012331A">
              <w:rPr>
                <w:rFonts w:ascii="Arial" w:eastAsia="Arial" w:hAnsi="Arial" w:cs="Arial"/>
                <w:sz w:val="16"/>
                <w:szCs w:val="16"/>
              </w:rPr>
              <w:t xml:space="preserve">haring </w:t>
            </w:r>
            <w:r>
              <w:rPr>
                <w:rFonts w:ascii="Arial" w:eastAsia="Arial" w:hAnsi="Arial" w:cs="Arial"/>
                <w:sz w:val="16"/>
                <w:szCs w:val="16"/>
              </w:rPr>
              <w:t>s</w:t>
            </w:r>
            <w:r w:rsidRPr="0012331A">
              <w:rPr>
                <w:rFonts w:ascii="Arial" w:eastAsia="Arial" w:hAnsi="Arial" w:cs="Arial"/>
                <w:sz w:val="16"/>
                <w:szCs w:val="16"/>
              </w:rPr>
              <w:t xml:space="preserve">cheme are operating as intended and whether the privacy protections are fit-for-purpose in the present operating environment. </w:t>
            </w:r>
          </w:p>
          <w:p w:rsidR="00FD64C1" w:rsidRPr="0012331A" w:rsidRDefault="00FD64C1" w:rsidP="00FD64C1">
            <w:pPr>
              <w:spacing w:after="0" w:line="273" w:lineRule="auto"/>
              <w:rPr>
                <w:rFonts w:ascii="Arial" w:eastAsia="Arial" w:hAnsi="Arial" w:cs="Arial"/>
                <w:sz w:val="16"/>
                <w:szCs w:val="16"/>
              </w:rPr>
            </w:pPr>
            <w:r w:rsidRPr="0012331A">
              <w:rPr>
                <w:rFonts w:ascii="Arial" w:eastAsia="Arial" w:hAnsi="Arial" w:cs="Arial"/>
                <w:sz w:val="16"/>
                <w:szCs w:val="16"/>
              </w:rPr>
              <w:t>Subsequent reviews should formally consider whether the next review should occur sooner than 10 years, taking into account:</w:t>
            </w:r>
          </w:p>
          <w:p w:rsidR="00FD64C1" w:rsidRPr="0012331A" w:rsidRDefault="00FD64C1" w:rsidP="00FD64C1">
            <w:pPr>
              <w:pStyle w:val="ListParagraph"/>
              <w:numPr>
                <w:ilvl w:val="0"/>
                <w:numId w:val="28"/>
              </w:numPr>
              <w:spacing w:after="0" w:line="273" w:lineRule="auto"/>
              <w:rPr>
                <w:rFonts w:ascii="Arial" w:eastAsia="Arial" w:hAnsi="Arial" w:cs="Arial"/>
                <w:sz w:val="16"/>
                <w:szCs w:val="16"/>
              </w:rPr>
            </w:pPr>
            <w:r w:rsidRPr="0012331A">
              <w:rPr>
                <w:rFonts w:ascii="Arial" w:eastAsia="Arial" w:hAnsi="Arial" w:cs="Arial"/>
                <w:sz w:val="16"/>
                <w:szCs w:val="16"/>
              </w:rPr>
              <w:t>How the scheme is operating in practice, including any privacy impacts of concern</w:t>
            </w:r>
          </w:p>
          <w:p w:rsidR="00FD64C1" w:rsidRPr="0012331A" w:rsidRDefault="00FD64C1" w:rsidP="00FD64C1">
            <w:pPr>
              <w:pStyle w:val="ListParagraph"/>
              <w:numPr>
                <w:ilvl w:val="0"/>
                <w:numId w:val="28"/>
              </w:numPr>
              <w:spacing w:after="0" w:line="273" w:lineRule="auto"/>
              <w:rPr>
                <w:rFonts w:ascii="Arial" w:eastAsia="Arial" w:hAnsi="Arial" w:cs="Arial"/>
                <w:sz w:val="16"/>
                <w:szCs w:val="16"/>
              </w:rPr>
            </w:pPr>
            <w:r w:rsidRPr="0012331A">
              <w:rPr>
                <w:rFonts w:ascii="Arial" w:eastAsia="Arial" w:hAnsi="Arial" w:cs="Arial"/>
                <w:sz w:val="16"/>
                <w:szCs w:val="16"/>
              </w:rPr>
              <w:t>The changing technology landscape</w:t>
            </w:r>
          </w:p>
          <w:p w:rsidR="00FD64C1" w:rsidRPr="0012331A" w:rsidRDefault="00FD64C1" w:rsidP="00FD64C1">
            <w:pPr>
              <w:pStyle w:val="ListParagraph"/>
              <w:numPr>
                <w:ilvl w:val="0"/>
                <w:numId w:val="28"/>
              </w:numPr>
              <w:spacing w:after="0" w:line="273" w:lineRule="auto"/>
              <w:rPr>
                <w:rFonts w:ascii="Arial" w:eastAsia="Arial" w:hAnsi="Arial" w:cs="Arial"/>
                <w:sz w:val="16"/>
                <w:szCs w:val="16"/>
              </w:rPr>
            </w:pPr>
            <w:r w:rsidRPr="0012331A">
              <w:rPr>
                <w:rFonts w:ascii="Arial" w:eastAsia="Arial" w:hAnsi="Arial" w:cs="Arial"/>
                <w:sz w:val="16"/>
                <w:szCs w:val="16"/>
              </w:rPr>
              <w:t>Amendments to the Act, especially those that significantly expand the scheme or otherwise have the potential to impact privacy.</w:t>
            </w:r>
          </w:p>
          <w:p w:rsidR="00FD64C1" w:rsidRPr="00FA6B66" w:rsidRDefault="00FD64C1" w:rsidP="00FD64C1">
            <w:pPr>
              <w:spacing w:after="0" w:line="273" w:lineRule="auto"/>
              <w:rPr>
                <w:rFonts w:ascii="Arial" w:eastAsia="Arial" w:hAnsi="Arial" w:cs="Arial"/>
                <w:sz w:val="16"/>
                <w:szCs w:val="16"/>
              </w:rPr>
            </w:pPr>
            <w:r w:rsidRPr="0012331A">
              <w:rPr>
                <w:rFonts w:ascii="Arial" w:eastAsia="Arial" w:hAnsi="Arial" w:cs="Arial"/>
                <w:sz w:val="16"/>
                <w:szCs w:val="16"/>
              </w:rPr>
              <w:t xml:space="preserve">The reviews of the Act and the government responses should be made public. </w:t>
            </w:r>
          </w:p>
        </w:tc>
        <w:tc>
          <w:tcPr>
            <w:tcW w:w="1885" w:type="dxa"/>
            <w:tcBorders>
              <w:top w:val="single" w:sz="4" w:space="0" w:color="999999"/>
              <w:left w:val="single" w:sz="4" w:space="0" w:color="999999"/>
              <w:bottom w:val="single" w:sz="4" w:space="0" w:color="999999"/>
              <w:right w:val="single" w:sz="4" w:space="0" w:color="999999"/>
            </w:tcBorders>
            <w:shd w:val="clear" w:color="auto" w:fill="auto"/>
            <w:tcMar>
              <w:top w:w="99" w:type="dxa"/>
              <w:left w:w="99" w:type="dxa"/>
              <w:bottom w:w="99" w:type="dxa"/>
              <w:right w:w="99" w:type="dxa"/>
            </w:tcMar>
          </w:tcPr>
          <w:p w:rsidR="00FD64C1" w:rsidRPr="00FA6B66" w:rsidRDefault="00FD64C1" w:rsidP="00FD64C1">
            <w:pPr>
              <w:spacing w:after="0" w:line="273" w:lineRule="auto"/>
              <w:jc w:val="center"/>
              <w:rPr>
                <w:rFonts w:ascii="Arial" w:eastAsia="Arial" w:hAnsi="Arial" w:cs="Arial"/>
                <w:b/>
                <w:sz w:val="16"/>
                <w:szCs w:val="16"/>
              </w:rPr>
            </w:pPr>
            <w:r w:rsidRPr="00FA6B66">
              <w:rPr>
                <w:rFonts w:ascii="Arial" w:eastAsia="Arial" w:hAnsi="Arial" w:cs="Arial"/>
                <w:b/>
                <w:sz w:val="16"/>
                <w:szCs w:val="16"/>
              </w:rPr>
              <w:t>Agree</w:t>
            </w:r>
            <w:r>
              <w:rPr>
                <w:rFonts w:ascii="Arial" w:eastAsia="Arial" w:hAnsi="Arial" w:cs="Arial"/>
                <w:b/>
                <w:sz w:val="16"/>
                <w:szCs w:val="16"/>
              </w:rPr>
              <w:t xml:space="preserve"> in principle</w:t>
            </w:r>
          </w:p>
        </w:tc>
      </w:tr>
      <w:tr w:rsidR="00FD64C1" w:rsidRPr="00FA6B66" w:rsidTr="00FD64C1">
        <w:trPr>
          <w:jc w:val="center"/>
        </w:trPr>
        <w:tc>
          <w:tcPr>
            <w:tcW w:w="9251" w:type="dxa"/>
            <w:gridSpan w:val="2"/>
            <w:tcBorders>
              <w:top w:val="single" w:sz="4" w:space="0" w:color="999999"/>
              <w:left w:val="single" w:sz="4" w:space="0" w:color="999999"/>
              <w:bottom w:val="single" w:sz="4" w:space="0" w:color="999999"/>
              <w:right w:val="single" w:sz="4" w:space="0" w:color="999999"/>
            </w:tcBorders>
            <w:shd w:val="clear" w:color="auto" w:fill="auto"/>
            <w:tcMar>
              <w:top w:w="99" w:type="dxa"/>
              <w:left w:w="99" w:type="dxa"/>
              <w:bottom w:w="99" w:type="dxa"/>
              <w:right w:w="99" w:type="dxa"/>
            </w:tcMar>
          </w:tcPr>
          <w:p w:rsidR="00FD64C1" w:rsidRPr="00FA6B66" w:rsidRDefault="00FD64C1" w:rsidP="00FD64C1">
            <w:pPr>
              <w:spacing w:after="0" w:line="273" w:lineRule="auto"/>
              <w:rPr>
                <w:rFonts w:ascii="Arial" w:eastAsia="Arial" w:hAnsi="Arial" w:cs="Arial"/>
                <w:sz w:val="16"/>
                <w:szCs w:val="16"/>
              </w:rPr>
            </w:pPr>
            <w:r>
              <w:rPr>
                <w:rFonts w:ascii="Arial" w:eastAsia="Arial" w:hAnsi="Arial" w:cs="Arial"/>
                <w:b/>
                <w:sz w:val="16"/>
                <w:szCs w:val="16"/>
              </w:rPr>
              <w:t>PM&amp;C</w:t>
            </w:r>
            <w:r w:rsidRPr="00FA6B66">
              <w:rPr>
                <w:rFonts w:ascii="Arial" w:eastAsia="Arial" w:hAnsi="Arial" w:cs="Arial"/>
                <w:b/>
                <w:sz w:val="16"/>
                <w:szCs w:val="16"/>
              </w:rPr>
              <w:t xml:space="preserve"> Comment:</w:t>
            </w:r>
            <w:r w:rsidRPr="00FA6B66">
              <w:rPr>
                <w:rFonts w:ascii="Arial" w:eastAsia="Arial" w:hAnsi="Arial" w:cs="Arial"/>
                <w:sz w:val="16"/>
                <w:szCs w:val="16"/>
              </w:rPr>
              <w:t xml:space="preserve"> The Department agrees </w:t>
            </w:r>
            <w:r>
              <w:rPr>
                <w:rFonts w:ascii="Arial" w:eastAsia="Arial" w:hAnsi="Arial" w:cs="Arial"/>
                <w:sz w:val="16"/>
                <w:szCs w:val="16"/>
              </w:rPr>
              <w:t xml:space="preserve">in principle. The Bill requires regular statutory reviews to consider the operation of the scheme, including the review requirement. As is evidenced in the transparency mechanisms in the Bill and the transparent nature of the Bill’s development, the Department is committed to continuing transparency around its operation. To the extent possible, the Department agrees any review and Government responses will be made publicly available. </w:t>
            </w:r>
          </w:p>
        </w:tc>
      </w:tr>
      <w:tr w:rsidR="00FD64C1" w:rsidRPr="00FA6B66" w:rsidTr="00FD64C1">
        <w:trPr>
          <w:jc w:val="center"/>
        </w:trPr>
        <w:tc>
          <w:tcPr>
            <w:tcW w:w="7366" w:type="dxa"/>
            <w:tcBorders>
              <w:top w:val="single" w:sz="4" w:space="0" w:color="999999"/>
              <w:left w:val="single" w:sz="4" w:space="0" w:color="999999"/>
              <w:bottom w:val="single" w:sz="4" w:space="0" w:color="999999"/>
              <w:right w:val="single" w:sz="4" w:space="0" w:color="999999"/>
            </w:tcBorders>
            <w:shd w:val="clear" w:color="auto" w:fill="F3F3F3"/>
            <w:tcMar>
              <w:top w:w="99" w:type="dxa"/>
              <w:left w:w="99" w:type="dxa"/>
              <w:bottom w:w="99" w:type="dxa"/>
              <w:right w:w="99" w:type="dxa"/>
            </w:tcMar>
          </w:tcPr>
          <w:p w:rsidR="00FD64C1" w:rsidRPr="00FA6B66" w:rsidRDefault="00FD64C1" w:rsidP="00FD64C1">
            <w:pPr>
              <w:spacing w:line="273" w:lineRule="auto"/>
              <w:rPr>
                <w:rFonts w:ascii="Arial" w:eastAsia="Arial" w:hAnsi="Arial" w:cs="Arial"/>
                <w:sz w:val="16"/>
                <w:szCs w:val="16"/>
              </w:rPr>
            </w:pPr>
            <w:r w:rsidRPr="00FA6B66">
              <w:rPr>
                <w:rFonts w:ascii="Arial" w:eastAsia="Arial" w:hAnsi="Arial" w:cs="Arial"/>
                <w:b/>
                <w:sz w:val="16"/>
                <w:szCs w:val="16"/>
              </w:rPr>
              <w:t xml:space="preserve">Recommendation </w:t>
            </w:r>
            <w:r>
              <w:rPr>
                <w:rFonts w:ascii="Arial" w:eastAsia="Arial" w:hAnsi="Arial" w:cs="Arial"/>
                <w:b/>
                <w:sz w:val="16"/>
                <w:szCs w:val="16"/>
              </w:rPr>
              <w:t>13</w:t>
            </w:r>
            <w:r w:rsidRPr="00FA6B66">
              <w:rPr>
                <w:rFonts w:ascii="Arial" w:eastAsia="Arial" w:hAnsi="Arial" w:cs="Arial"/>
                <w:b/>
                <w:sz w:val="16"/>
                <w:szCs w:val="16"/>
              </w:rPr>
              <w:t xml:space="preserve">: </w:t>
            </w:r>
            <w:r w:rsidRPr="00B34BCD">
              <w:rPr>
                <w:rFonts w:ascii="Arial" w:eastAsia="Arial" w:hAnsi="Arial" w:cs="Arial"/>
                <w:sz w:val="16"/>
                <w:szCs w:val="16"/>
              </w:rPr>
              <w:t xml:space="preserve">Conduct public awareness campaign about the </w:t>
            </w:r>
            <w:r>
              <w:rPr>
                <w:rFonts w:ascii="Arial" w:eastAsia="Arial" w:hAnsi="Arial" w:cs="Arial"/>
                <w:sz w:val="16"/>
                <w:szCs w:val="16"/>
              </w:rPr>
              <w:t>d</w:t>
            </w:r>
            <w:r w:rsidRPr="00B34BCD">
              <w:rPr>
                <w:rFonts w:ascii="Arial" w:eastAsia="Arial" w:hAnsi="Arial" w:cs="Arial"/>
                <w:sz w:val="16"/>
                <w:szCs w:val="16"/>
              </w:rPr>
              <w:t xml:space="preserve">ata </w:t>
            </w:r>
            <w:r>
              <w:rPr>
                <w:rFonts w:ascii="Arial" w:eastAsia="Arial" w:hAnsi="Arial" w:cs="Arial"/>
                <w:sz w:val="16"/>
                <w:szCs w:val="16"/>
              </w:rPr>
              <w:t>s</w:t>
            </w:r>
            <w:r w:rsidRPr="00B34BCD">
              <w:rPr>
                <w:rFonts w:ascii="Arial" w:eastAsia="Arial" w:hAnsi="Arial" w:cs="Arial"/>
                <w:sz w:val="16"/>
                <w:szCs w:val="16"/>
              </w:rPr>
              <w:t xml:space="preserve">haring </w:t>
            </w:r>
            <w:r>
              <w:rPr>
                <w:rFonts w:ascii="Arial" w:eastAsia="Arial" w:hAnsi="Arial" w:cs="Arial"/>
                <w:sz w:val="16"/>
                <w:szCs w:val="16"/>
              </w:rPr>
              <w:t>s</w:t>
            </w:r>
            <w:r w:rsidRPr="00B34BCD">
              <w:rPr>
                <w:rFonts w:ascii="Arial" w:eastAsia="Arial" w:hAnsi="Arial" w:cs="Arial"/>
                <w:sz w:val="16"/>
                <w:szCs w:val="16"/>
              </w:rPr>
              <w:t>cheme</w:t>
            </w:r>
            <w:r>
              <w:rPr>
                <w:rFonts w:ascii="Arial" w:eastAsia="Arial" w:hAnsi="Arial" w:cs="Arial"/>
                <w:sz w:val="16"/>
                <w:szCs w:val="16"/>
              </w:rPr>
              <w:t>.</w:t>
            </w:r>
          </w:p>
          <w:p w:rsidR="00FD64C1" w:rsidRPr="0012331A" w:rsidRDefault="00FD64C1" w:rsidP="00FD64C1">
            <w:pPr>
              <w:spacing w:after="0" w:line="273" w:lineRule="auto"/>
              <w:rPr>
                <w:rFonts w:ascii="Arial" w:eastAsia="Arial" w:hAnsi="Arial" w:cs="Arial"/>
                <w:sz w:val="16"/>
                <w:szCs w:val="16"/>
              </w:rPr>
            </w:pPr>
            <w:r w:rsidRPr="0012331A">
              <w:rPr>
                <w:rFonts w:ascii="Arial" w:eastAsia="Arial" w:hAnsi="Arial" w:cs="Arial"/>
                <w:sz w:val="16"/>
                <w:szCs w:val="16"/>
              </w:rPr>
              <w:t>The NDC</w:t>
            </w:r>
            <w:r>
              <w:rPr>
                <w:rFonts w:ascii="Arial" w:eastAsia="Arial" w:hAnsi="Arial" w:cs="Arial"/>
                <w:sz w:val="16"/>
                <w:szCs w:val="16"/>
              </w:rPr>
              <w:t>,</w:t>
            </w:r>
            <w:r w:rsidRPr="0012331A">
              <w:rPr>
                <w:rFonts w:ascii="Arial" w:eastAsia="Arial" w:hAnsi="Arial" w:cs="Arial"/>
                <w:sz w:val="16"/>
                <w:szCs w:val="16"/>
              </w:rPr>
              <w:t xml:space="preserve"> in collaboration with other relevant stakeholders, should conduct a public awareness campaign to promote the </w:t>
            </w:r>
            <w:r>
              <w:rPr>
                <w:rFonts w:ascii="Arial" w:eastAsia="Arial" w:hAnsi="Arial" w:cs="Arial"/>
                <w:sz w:val="16"/>
                <w:szCs w:val="16"/>
              </w:rPr>
              <w:t>d</w:t>
            </w:r>
            <w:r w:rsidRPr="0012331A">
              <w:rPr>
                <w:rFonts w:ascii="Arial" w:eastAsia="Arial" w:hAnsi="Arial" w:cs="Arial"/>
                <w:sz w:val="16"/>
                <w:szCs w:val="16"/>
              </w:rPr>
              <w:t xml:space="preserve">ata </w:t>
            </w:r>
            <w:r>
              <w:rPr>
                <w:rFonts w:ascii="Arial" w:eastAsia="Arial" w:hAnsi="Arial" w:cs="Arial"/>
                <w:sz w:val="16"/>
                <w:szCs w:val="16"/>
              </w:rPr>
              <w:t>s</w:t>
            </w:r>
            <w:r w:rsidRPr="0012331A">
              <w:rPr>
                <w:rFonts w:ascii="Arial" w:eastAsia="Arial" w:hAnsi="Arial" w:cs="Arial"/>
                <w:sz w:val="16"/>
                <w:szCs w:val="16"/>
              </w:rPr>
              <w:t xml:space="preserve">haring </w:t>
            </w:r>
            <w:r>
              <w:rPr>
                <w:rFonts w:ascii="Arial" w:eastAsia="Arial" w:hAnsi="Arial" w:cs="Arial"/>
                <w:sz w:val="16"/>
                <w:szCs w:val="16"/>
              </w:rPr>
              <w:t>s</w:t>
            </w:r>
            <w:r w:rsidRPr="0012331A">
              <w:rPr>
                <w:rFonts w:ascii="Arial" w:eastAsia="Arial" w:hAnsi="Arial" w:cs="Arial"/>
                <w:sz w:val="16"/>
                <w:szCs w:val="16"/>
              </w:rPr>
              <w:t xml:space="preserve">cheme. The campaign should involve multiple channels – such as posters, mail, videos or other multi-media, Data </w:t>
            </w:r>
            <w:r w:rsidRPr="0012331A">
              <w:rPr>
                <w:rFonts w:ascii="Arial" w:eastAsia="Arial" w:hAnsi="Arial" w:cs="Arial"/>
                <w:sz w:val="16"/>
                <w:szCs w:val="16"/>
              </w:rPr>
              <w:lastRenderedPageBreak/>
              <w:t>Custodians and other government websites and social media – to maximise reach. The campaign should occur before the launch of the scheme, and should feature easily-accessible information about the following:</w:t>
            </w:r>
          </w:p>
          <w:p w:rsidR="00FD64C1" w:rsidRPr="0012331A" w:rsidRDefault="00FD64C1" w:rsidP="00FD64C1">
            <w:pPr>
              <w:pStyle w:val="ListParagraph"/>
              <w:numPr>
                <w:ilvl w:val="0"/>
                <w:numId w:val="33"/>
              </w:numPr>
              <w:spacing w:after="0" w:line="273" w:lineRule="auto"/>
              <w:rPr>
                <w:rFonts w:ascii="Arial" w:eastAsia="Arial" w:hAnsi="Arial" w:cs="Arial"/>
                <w:sz w:val="16"/>
                <w:szCs w:val="16"/>
              </w:rPr>
            </w:pPr>
            <w:r w:rsidRPr="0012331A">
              <w:rPr>
                <w:rFonts w:ascii="Arial" w:eastAsia="Arial" w:hAnsi="Arial" w:cs="Arial"/>
                <w:sz w:val="16"/>
                <w:szCs w:val="16"/>
              </w:rPr>
              <w:t>The benefits that the scheme will bring to individuals and the wider public</w:t>
            </w:r>
            <w:r>
              <w:rPr>
                <w:rFonts w:ascii="Arial" w:eastAsia="Arial" w:hAnsi="Arial" w:cs="Arial"/>
                <w:sz w:val="16"/>
                <w:szCs w:val="16"/>
              </w:rPr>
              <w:t>,</w:t>
            </w:r>
          </w:p>
          <w:p w:rsidR="00FD64C1" w:rsidRPr="0012331A" w:rsidRDefault="00FD64C1" w:rsidP="00FD64C1">
            <w:pPr>
              <w:pStyle w:val="ListParagraph"/>
              <w:numPr>
                <w:ilvl w:val="0"/>
                <w:numId w:val="33"/>
              </w:numPr>
              <w:spacing w:after="0" w:line="273" w:lineRule="auto"/>
              <w:rPr>
                <w:rFonts w:ascii="Arial" w:eastAsia="Arial" w:hAnsi="Arial" w:cs="Arial"/>
                <w:sz w:val="16"/>
                <w:szCs w:val="16"/>
              </w:rPr>
            </w:pPr>
            <w:r w:rsidRPr="0012331A">
              <w:rPr>
                <w:rFonts w:ascii="Arial" w:eastAsia="Arial" w:hAnsi="Arial" w:cs="Arial"/>
                <w:sz w:val="16"/>
                <w:szCs w:val="16"/>
              </w:rPr>
              <w:t>An explanation of potentially concerning (non-)permitted purposes, including commercial activities and compliance/assurance</w:t>
            </w:r>
            <w:r>
              <w:rPr>
                <w:rFonts w:ascii="Arial" w:eastAsia="Arial" w:hAnsi="Arial" w:cs="Arial"/>
                <w:sz w:val="16"/>
                <w:szCs w:val="16"/>
              </w:rPr>
              <w:t>,</w:t>
            </w:r>
          </w:p>
          <w:p w:rsidR="00FD64C1" w:rsidRPr="0012331A" w:rsidRDefault="00FD64C1" w:rsidP="00FD64C1">
            <w:pPr>
              <w:pStyle w:val="ListParagraph"/>
              <w:numPr>
                <w:ilvl w:val="0"/>
                <w:numId w:val="33"/>
              </w:numPr>
              <w:spacing w:after="0" w:line="273" w:lineRule="auto"/>
              <w:rPr>
                <w:rFonts w:ascii="Arial" w:eastAsia="Arial" w:hAnsi="Arial" w:cs="Arial"/>
                <w:sz w:val="16"/>
                <w:szCs w:val="16"/>
              </w:rPr>
            </w:pPr>
            <w:r w:rsidRPr="0012331A">
              <w:rPr>
                <w:rFonts w:ascii="Arial" w:eastAsia="Arial" w:hAnsi="Arial" w:cs="Arial"/>
                <w:sz w:val="16"/>
                <w:szCs w:val="16"/>
              </w:rPr>
              <w:t>An overview of the framework in place to protect privacy and security</w:t>
            </w:r>
            <w:r>
              <w:rPr>
                <w:rFonts w:ascii="Arial" w:eastAsia="Arial" w:hAnsi="Arial" w:cs="Arial"/>
                <w:sz w:val="16"/>
                <w:szCs w:val="16"/>
              </w:rPr>
              <w:t>,</w:t>
            </w:r>
          </w:p>
          <w:p w:rsidR="00FD64C1" w:rsidRPr="00B34BCD" w:rsidRDefault="00FD64C1" w:rsidP="00FD64C1">
            <w:pPr>
              <w:pStyle w:val="ListParagraph"/>
              <w:numPr>
                <w:ilvl w:val="0"/>
                <w:numId w:val="29"/>
              </w:numPr>
              <w:spacing w:after="0" w:line="273" w:lineRule="auto"/>
              <w:rPr>
                <w:rFonts w:ascii="Arial" w:eastAsia="Arial" w:hAnsi="Arial" w:cs="Arial"/>
                <w:sz w:val="16"/>
                <w:szCs w:val="16"/>
              </w:rPr>
            </w:pPr>
            <w:r w:rsidRPr="0012331A">
              <w:rPr>
                <w:rFonts w:ascii="Arial" w:eastAsia="Arial" w:hAnsi="Arial" w:cs="Arial"/>
                <w:sz w:val="16"/>
                <w:szCs w:val="16"/>
              </w:rPr>
              <w:t>How individuals can ask questions and exercise their rights.</w:t>
            </w:r>
          </w:p>
        </w:tc>
        <w:tc>
          <w:tcPr>
            <w:tcW w:w="1885" w:type="dxa"/>
            <w:tcBorders>
              <w:top w:val="single" w:sz="4" w:space="0" w:color="999999"/>
              <w:left w:val="single" w:sz="4" w:space="0" w:color="999999"/>
              <w:bottom w:val="single" w:sz="4" w:space="0" w:color="999999"/>
              <w:right w:val="single" w:sz="4" w:space="0" w:color="999999"/>
            </w:tcBorders>
            <w:shd w:val="clear" w:color="auto" w:fill="auto"/>
            <w:tcMar>
              <w:top w:w="99" w:type="dxa"/>
              <w:left w:w="99" w:type="dxa"/>
              <w:bottom w:w="99" w:type="dxa"/>
              <w:right w:w="99" w:type="dxa"/>
            </w:tcMar>
          </w:tcPr>
          <w:p w:rsidR="00FD64C1" w:rsidRPr="00FA6B66" w:rsidRDefault="00FD64C1" w:rsidP="00FD64C1">
            <w:pPr>
              <w:spacing w:after="0" w:line="273" w:lineRule="auto"/>
              <w:jc w:val="center"/>
              <w:rPr>
                <w:rFonts w:ascii="Arial" w:eastAsia="Arial" w:hAnsi="Arial" w:cs="Arial"/>
                <w:b/>
                <w:sz w:val="16"/>
                <w:szCs w:val="16"/>
              </w:rPr>
            </w:pPr>
            <w:r w:rsidRPr="00FA6B66">
              <w:rPr>
                <w:rFonts w:ascii="Arial" w:eastAsia="Arial" w:hAnsi="Arial" w:cs="Arial"/>
                <w:b/>
                <w:sz w:val="16"/>
                <w:szCs w:val="16"/>
              </w:rPr>
              <w:lastRenderedPageBreak/>
              <w:t>Agree</w:t>
            </w:r>
          </w:p>
        </w:tc>
      </w:tr>
      <w:tr w:rsidR="00FD64C1" w:rsidRPr="00FA6B66" w:rsidTr="00FD64C1">
        <w:trPr>
          <w:jc w:val="center"/>
        </w:trPr>
        <w:tc>
          <w:tcPr>
            <w:tcW w:w="9251" w:type="dxa"/>
            <w:gridSpan w:val="2"/>
            <w:tcBorders>
              <w:top w:val="single" w:sz="4" w:space="0" w:color="999999"/>
              <w:left w:val="single" w:sz="4" w:space="0" w:color="999999"/>
              <w:bottom w:val="single" w:sz="4" w:space="0" w:color="999999"/>
              <w:right w:val="single" w:sz="4" w:space="0" w:color="999999"/>
            </w:tcBorders>
            <w:shd w:val="clear" w:color="auto" w:fill="auto"/>
            <w:tcMar>
              <w:top w:w="99" w:type="dxa"/>
              <w:left w:w="99" w:type="dxa"/>
              <w:bottom w:w="99" w:type="dxa"/>
              <w:right w:w="99" w:type="dxa"/>
            </w:tcMar>
          </w:tcPr>
          <w:p w:rsidR="00FD64C1" w:rsidRPr="00FA6B66" w:rsidRDefault="00FD64C1" w:rsidP="00FD64C1">
            <w:pPr>
              <w:spacing w:after="0" w:line="273" w:lineRule="auto"/>
              <w:rPr>
                <w:rFonts w:ascii="Arial" w:eastAsia="Arial" w:hAnsi="Arial" w:cs="Arial"/>
                <w:sz w:val="16"/>
                <w:szCs w:val="16"/>
              </w:rPr>
            </w:pPr>
            <w:r>
              <w:rPr>
                <w:rFonts w:ascii="Arial" w:eastAsia="Arial" w:hAnsi="Arial" w:cs="Arial"/>
                <w:b/>
                <w:sz w:val="16"/>
                <w:szCs w:val="16"/>
              </w:rPr>
              <w:t>PM&amp;C</w:t>
            </w:r>
            <w:r w:rsidRPr="00FA6B66">
              <w:rPr>
                <w:rFonts w:ascii="Arial" w:eastAsia="Arial" w:hAnsi="Arial" w:cs="Arial"/>
                <w:b/>
                <w:sz w:val="16"/>
                <w:szCs w:val="16"/>
              </w:rPr>
              <w:t xml:space="preserve"> Comment:</w:t>
            </w:r>
            <w:r w:rsidRPr="00FA6B66">
              <w:rPr>
                <w:rFonts w:ascii="Arial" w:eastAsia="Arial" w:hAnsi="Arial" w:cs="Arial"/>
                <w:sz w:val="16"/>
                <w:szCs w:val="16"/>
              </w:rPr>
              <w:t xml:space="preserve"> </w:t>
            </w:r>
            <w:r w:rsidRPr="00434362">
              <w:rPr>
                <w:rFonts w:ascii="Arial" w:eastAsia="Arial" w:hAnsi="Arial" w:cs="Arial"/>
                <w:sz w:val="16"/>
                <w:szCs w:val="16"/>
              </w:rPr>
              <w:t xml:space="preserve">The Department agrees and intends to conduct public communications, including undertake digital advertising on the Exposure Draft of the Bill supported by videos and easy to access website content. A public awareness campaign, involving easily-accessible information, will be core to ensuring that the public is aware and informed about the scheme. </w:t>
            </w:r>
          </w:p>
        </w:tc>
      </w:tr>
    </w:tbl>
    <w:p w:rsidR="00FD64C1" w:rsidRPr="00476EEF" w:rsidRDefault="00FD64C1" w:rsidP="00FD64C1"/>
    <w:p w:rsidR="007500BA" w:rsidRDefault="007500BA" w:rsidP="009C5D13">
      <w:pPr>
        <w:rPr>
          <w:b/>
        </w:rPr>
      </w:pPr>
    </w:p>
    <w:p w:rsidR="007500BA" w:rsidRPr="007500BA" w:rsidRDefault="007500BA" w:rsidP="009C5D13">
      <w:pPr>
        <w:rPr>
          <w:b/>
        </w:rPr>
      </w:pPr>
    </w:p>
    <w:p w:rsidR="007500BA" w:rsidRDefault="007500BA" w:rsidP="009C5D13"/>
    <w:p w:rsidR="005D4C04" w:rsidRPr="009C5D13" w:rsidRDefault="005D4C04" w:rsidP="009C5D13"/>
    <w:sectPr w:rsidR="005D4C04" w:rsidRPr="009C5D13" w:rsidSect="00D26127">
      <w:footerReference w:type="default" r:id="rId16"/>
      <w:pgSz w:w="11906" w:h="16838"/>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0C07" w:rsidRDefault="00360C07" w:rsidP="0054622A">
      <w:pPr>
        <w:spacing w:after="0" w:line="240" w:lineRule="auto"/>
      </w:pPr>
      <w:r>
        <w:separator/>
      </w:r>
    </w:p>
  </w:endnote>
  <w:endnote w:type="continuationSeparator" w:id="0">
    <w:p w:rsidR="00360C07" w:rsidRDefault="00360C07" w:rsidP="0054622A">
      <w:pPr>
        <w:spacing w:after="0" w:line="240" w:lineRule="auto"/>
      </w:pPr>
      <w:r>
        <w:continuationSeparator/>
      </w:r>
    </w:p>
  </w:endnote>
  <w:endnote w:type="continuationNotice" w:id="1">
    <w:p w:rsidR="00360C07" w:rsidRDefault="00360C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entury Gothic">
    <w:panose1 w:val="020B0502020202020204"/>
    <w:charset w:val="00"/>
    <w:family w:val="swiss"/>
    <w:pitch w:val="variable"/>
    <w:sig w:usb0="00000287" w:usb1="00000000" w:usb2="00000000" w:usb3="00000000" w:csb0="0000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ontserrat Semi Bold">
    <w:panose1 w:val="00000700000000000000"/>
    <w:charset w:val="00"/>
    <w:family w:val="modern"/>
    <w:notTrueType/>
    <w:pitch w:val="variable"/>
    <w:sig w:usb0="00000007" w:usb1="00000000" w:usb2="00000000" w:usb3="00000000" w:csb0="00000093"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4348545"/>
      <w:docPartObj>
        <w:docPartGallery w:val="Page Numbers (Bottom of Page)"/>
        <w:docPartUnique/>
      </w:docPartObj>
    </w:sdtPr>
    <w:sdtEndPr>
      <w:rPr>
        <w:noProof/>
      </w:rPr>
    </w:sdtEndPr>
    <w:sdtContent>
      <w:p w:rsidR="00234602" w:rsidRDefault="00234602">
        <w:pPr>
          <w:pStyle w:val="Footer"/>
          <w:jc w:val="center"/>
        </w:pPr>
        <w:r>
          <w:fldChar w:fldCharType="begin"/>
        </w:r>
        <w:r>
          <w:instrText xml:space="preserve"> PAGE   \* MERGEFORMAT </w:instrText>
        </w:r>
        <w:r>
          <w:fldChar w:fldCharType="separate"/>
        </w:r>
        <w:r w:rsidR="00C51B53">
          <w:rPr>
            <w:noProof/>
          </w:rPr>
          <w:t>12</w:t>
        </w:r>
        <w:r>
          <w:rPr>
            <w:noProof/>
          </w:rPr>
          <w:fldChar w:fldCharType="end"/>
        </w:r>
      </w:p>
    </w:sdtContent>
  </w:sdt>
  <w:p w:rsidR="00234602" w:rsidRDefault="002346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0C07" w:rsidRDefault="00360C07" w:rsidP="0054622A">
      <w:pPr>
        <w:spacing w:after="0" w:line="240" w:lineRule="auto"/>
      </w:pPr>
      <w:r>
        <w:separator/>
      </w:r>
    </w:p>
  </w:footnote>
  <w:footnote w:type="continuationSeparator" w:id="0">
    <w:p w:rsidR="00360C07" w:rsidRDefault="00360C07" w:rsidP="0054622A">
      <w:pPr>
        <w:spacing w:after="0" w:line="240" w:lineRule="auto"/>
      </w:pPr>
      <w:r>
        <w:continuationSeparator/>
      </w:r>
    </w:p>
  </w:footnote>
  <w:footnote w:type="continuationNotice" w:id="1">
    <w:p w:rsidR="00360C07" w:rsidRDefault="00360C07">
      <w:pPr>
        <w:spacing w:after="0" w:line="240" w:lineRule="auto"/>
      </w:pPr>
    </w:p>
  </w:footnote>
  <w:footnote w:id="2">
    <w:p w:rsidR="00234602" w:rsidRPr="00A04345" w:rsidRDefault="00234602">
      <w:pPr>
        <w:pStyle w:val="FootnoteText"/>
        <w:rPr>
          <w:sz w:val="16"/>
          <w:szCs w:val="16"/>
        </w:rPr>
      </w:pPr>
      <w:r w:rsidRPr="00A04345">
        <w:rPr>
          <w:rStyle w:val="FootnoteReference"/>
          <w:sz w:val="16"/>
          <w:szCs w:val="16"/>
        </w:rPr>
        <w:footnoteRef/>
      </w:r>
      <w:r w:rsidRPr="00A04345">
        <w:rPr>
          <w:sz w:val="16"/>
          <w:szCs w:val="16"/>
        </w:rPr>
        <w:t xml:space="preserve"> Exposure Draft of the Bill </w:t>
      </w:r>
      <w:r>
        <w:rPr>
          <w:sz w:val="16"/>
          <w:szCs w:val="16"/>
        </w:rPr>
        <w:t>available</w:t>
      </w:r>
      <w:r w:rsidRPr="00A04345">
        <w:rPr>
          <w:sz w:val="16"/>
          <w:szCs w:val="16"/>
        </w:rPr>
        <w:t xml:space="preserve"> at</w:t>
      </w:r>
      <w:r w:rsidRPr="001E078C">
        <w:rPr>
          <w:rStyle w:val="Hyperlink"/>
          <w:sz w:val="18"/>
        </w:rPr>
        <w:t xml:space="preserve"> </w:t>
      </w:r>
      <w:hyperlink r:id="rId1" w:history="1">
        <w:r w:rsidRPr="00667D73">
          <w:rPr>
            <w:rStyle w:val="Hyperlink"/>
            <w:sz w:val="18"/>
          </w:rPr>
          <w:t>https://www.datacommissioner.gov.au/exposure-draft</w:t>
        </w:r>
      </w:hyperlink>
    </w:p>
  </w:footnote>
  <w:footnote w:id="3">
    <w:p w:rsidR="00234602" w:rsidRDefault="00234602" w:rsidP="00A974BC">
      <w:pPr>
        <w:pStyle w:val="FootnoteText"/>
      </w:pPr>
      <w:r w:rsidRPr="003D6579">
        <w:rPr>
          <w:rStyle w:val="FootnoteReference"/>
          <w:sz w:val="18"/>
        </w:rPr>
        <w:footnoteRef/>
      </w:r>
      <w:r w:rsidRPr="003D6579">
        <w:rPr>
          <w:sz w:val="18"/>
        </w:rPr>
        <w:t xml:space="preserve"> Interim observations </w:t>
      </w:r>
      <w:r>
        <w:rPr>
          <w:sz w:val="18"/>
        </w:rPr>
        <w:t>available</w:t>
      </w:r>
      <w:r w:rsidRPr="003D6579">
        <w:rPr>
          <w:sz w:val="18"/>
        </w:rPr>
        <w:t xml:space="preserve"> at </w:t>
      </w:r>
      <w:hyperlink r:id="rId2" w:history="1">
        <w:r w:rsidRPr="003D6579">
          <w:rPr>
            <w:rStyle w:val="Hyperlink"/>
            <w:sz w:val="18"/>
          </w:rPr>
          <w:t>https://naturaldisaster.royalcommission.gov.au/publications/interim-observations-1</w:t>
        </w:r>
      </w:hyperlink>
      <w:r w:rsidRPr="003D6579">
        <w:rPr>
          <w:sz w:val="18"/>
        </w:rPr>
        <w:t xml:space="preserve"> </w:t>
      </w:r>
    </w:p>
  </w:footnote>
  <w:footnote w:id="4">
    <w:p w:rsidR="00234602" w:rsidRPr="00A04345" w:rsidRDefault="00234602" w:rsidP="005D2B8F">
      <w:pPr>
        <w:pStyle w:val="FootnoteText"/>
        <w:rPr>
          <w:sz w:val="16"/>
          <w:szCs w:val="16"/>
        </w:rPr>
      </w:pPr>
      <w:r w:rsidRPr="00A04345">
        <w:rPr>
          <w:rStyle w:val="FootnoteReference"/>
          <w:sz w:val="16"/>
          <w:szCs w:val="16"/>
        </w:rPr>
        <w:footnoteRef/>
      </w:r>
      <w:r w:rsidRPr="00A04345">
        <w:rPr>
          <w:sz w:val="16"/>
          <w:szCs w:val="16"/>
        </w:rPr>
        <w:t xml:space="preserve"> Productivity Commission’s Data Availability and Inquiry report</w:t>
      </w:r>
      <w:r>
        <w:rPr>
          <w:sz w:val="16"/>
          <w:szCs w:val="16"/>
        </w:rPr>
        <w:t xml:space="preserve"> available at</w:t>
      </w:r>
      <w:r w:rsidRPr="00A04345">
        <w:rPr>
          <w:sz w:val="16"/>
          <w:szCs w:val="16"/>
        </w:rPr>
        <w:t xml:space="preserve"> </w:t>
      </w:r>
      <w:hyperlink r:id="rId3" w:anchor="report" w:history="1">
        <w:r w:rsidRPr="00A04345">
          <w:rPr>
            <w:rStyle w:val="Hyperlink"/>
            <w:sz w:val="16"/>
            <w:szCs w:val="16"/>
          </w:rPr>
          <w:t>https://www.pc.gov.au/inquiries/completed/data-access#report</w:t>
        </w:r>
      </w:hyperlink>
    </w:p>
  </w:footnote>
  <w:footnote w:id="5">
    <w:p w:rsidR="00234602" w:rsidRPr="00A04345" w:rsidRDefault="00234602" w:rsidP="005D2B8F">
      <w:pPr>
        <w:pStyle w:val="FootnoteText"/>
        <w:rPr>
          <w:sz w:val="16"/>
          <w:szCs w:val="16"/>
        </w:rPr>
      </w:pPr>
      <w:r w:rsidRPr="00A04345">
        <w:rPr>
          <w:rStyle w:val="FootnoteReference"/>
          <w:sz w:val="16"/>
          <w:szCs w:val="16"/>
        </w:rPr>
        <w:footnoteRef/>
      </w:r>
      <w:r w:rsidRPr="00A04345">
        <w:rPr>
          <w:sz w:val="16"/>
          <w:szCs w:val="16"/>
        </w:rPr>
        <w:t xml:space="preserve"> Government’s response to the Productivity Commission’s recommendations </w:t>
      </w:r>
      <w:r>
        <w:rPr>
          <w:sz w:val="16"/>
          <w:szCs w:val="16"/>
        </w:rPr>
        <w:t>available</w:t>
      </w:r>
      <w:r w:rsidRPr="00A04345">
        <w:rPr>
          <w:sz w:val="16"/>
          <w:szCs w:val="16"/>
        </w:rPr>
        <w:t xml:space="preserve"> at  </w:t>
      </w:r>
      <w:hyperlink r:id="rId4" w:history="1">
        <w:r w:rsidRPr="00A04345">
          <w:rPr>
            <w:rStyle w:val="Hyperlink"/>
            <w:sz w:val="16"/>
            <w:szCs w:val="16"/>
          </w:rPr>
          <w:t>https://dataavailability.pmc.gov.au/</w:t>
        </w:r>
      </w:hyperlink>
    </w:p>
  </w:footnote>
  <w:footnote w:id="6">
    <w:p w:rsidR="00234602" w:rsidRPr="00A04345" w:rsidRDefault="00234602">
      <w:pPr>
        <w:pStyle w:val="FootnoteText"/>
        <w:rPr>
          <w:sz w:val="16"/>
          <w:szCs w:val="16"/>
        </w:rPr>
      </w:pPr>
      <w:r w:rsidRPr="00A04345">
        <w:rPr>
          <w:rStyle w:val="FootnoteReference"/>
          <w:sz w:val="16"/>
          <w:szCs w:val="16"/>
        </w:rPr>
        <w:footnoteRef/>
      </w:r>
      <w:r w:rsidRPr="00A04345">
        <w:rPr>
          <w:sz w:val="16"/>
          <w:szCs w:val="16"/>
        </w:rPr>
        <w:t xml:space="preserve"> More information on the National Data Advisory Council including current membership are at </w:t>
      </w:r>
      <w:hyperlink r:id="rId5" w:history="1">
        <w:r w:rsidRPr="00A04345">
          <w:rPr>
            <w:rStyle w:val="Hyperlink"/>
            <w:sz w:val="16"/>
            <w:szCs w:val="16"/>
          </w:rPr>
          <w:t>https://www.datacommissioner.gov.au/about/advisory-council</w:t>
        </w:r>
      </w:hyperlink>
    </w:p>
  </w:footnote>
  <w:footnote w:id="7">
    <w:p w:rsidR="00234602" w:rsidRPr="00A04345" w:rsidRDefault="00234602">
      <w:pPr>
        <w:pStyle w:val="FootnoteText"/>
        <w:rPr>
          <w:sz w:val="16"/>
        </w:rPr>
      </w:pPr>
      <w:r w:rsidRPr="00A04345">
        <w:rPr>
          <w:rStyle w:val="FootnoteReference"/>
          <w:sz w:val="16"/>
        </w:rPr>
        <w:footnoteRef/>
      </w:r>
      <w:r w:rsidRPr="00A04345">
        <w:rPr>
          <w:sz w:val="16"/>
        </w:rPr>
        <w:t xml:space="preserve"> Guide to applying the data sharing principles are at </w:t>
      </w:r>
      <w:hyperlink r:id="rId6" w:history="1">
        <w:r w:rsidRPr="00A04345">
          <w:rPr>
            <w:rStyle w:val="Hyperlink"/>
            <w:sz w:val="16"/>
          </w:rPr>
          <w:t>https://www.datacommissioner.gov.au/resources/sharing-data-safely-package</w:t>
        </w:r>
      </w:hyperlink>
    </w:p>
  </w:footnote>
  <w:footnote w:id="8">
    <w:p w:rsidR="00234602" w:rsidRPr="00A04345" w:rsidRDefault="00234602">
      <w:pPr>
        <w:pStyle w:val="FootnoteText"/>
        <w:rPr>
          <w:sz w:val="16"/>
        </w:rPr>
      </w:pPr>
      <w:r w:rsidRPr="00A04345">
        <w:rPr>
          <w:rStyle w:val="FootnoteReference"/>
          <w:sz w:val="16"/>
        </w:rPr>
        <w:footnoteRef/>
      </w:r>
      <w:r w:rsidRPr="00A04345">
        <w:rPr>
          <w:sz w:val="16"/>
        </w:rPr>
        <w:t xml:space="preserve"> A draft data sharing agreement template has been released </w:t>
      </w:r>
      <w:hyperlink r:id="rId7" w:history="1">
        <w:r w:rsidRPr="00A04345">
          <w:rPr>
            <w:rStyle w:val="Hyperlink"/>
            <w:sz w:val="16"/>
          </w:rPr>
          <w:t>https://www.datacommissioner.gov.au/resources/draft-data-sharing-agreement-template</w:t>
        </w:r>
      </w:hyperlink>
    </w:p>
  </w:footnote>
  <w:footnote w:id="9">
    <w:p w:rsidR="00234602" w:rsidRPr="00A04345" w:rsidRDefault="00234602">
      <w:pPr>
        <w:pStyle w:val="FootnoteText"/>
        <w:rPr>
          <w:sz w:val="16"/>
        </w:rPr>
      </w:pPr>
      <w:r w:rsidRPr="00A04345">
        <w:rPr>
          <w:rStyle w:val="FootnoteReference"/>
          <w:sz w:val="16"/>
        </w:rPr>
        <w:footnoteRef/>
      </w:r>
      <w:r w:rsidRPr="00A04345">
        <w:rPr>
          <w:sz w:val="16"/>
        </w:rPr>
        <w:t xml:space="preserve"> Foundational Four is a guide to managing data effectively </w:t>
      </w:r>
      <w:hyperlink r:id="rId8" w:history="1">
        <w:r w:rsidRPr="00A04345">
          <w:rPr>
            <w:rStyle w:val="Hyperlink"/>
            <w:sz w:val="16"/>
          </w:rPr>
          <w:t>https://www.datacommissioner.gov.au/resources/foundational-four</w:t>
        </w:r>
      </w:hyperlink>
    </w:p>
  </w:footnote>
  <w:footnote w:id="10">
    <w:p w:rsidR="00234602" w:rsidRPr="00A04345" w:rsidRDefault="00234602">
      <w:pPr>
        <w:pStyle w:val="FootnoteText"/>
        <w:rPr>
          <w:sz w:val="16"/>
        </w:rPr>
      </w:pPr>
      <w:r w:rsidRPr="00A04345">
        <w:rPr>
          <w:rStyle w:val="FootnoteReference"/>
          <w:sz w:val="16"/>
        </w:rPr>
        <w:footnoteRef/>
      </w:r>
      <w:r w:rsidRPr="00A04345">
        <w:rPr>
          <w:sz w:val="16"/>
        </w:rPr>
        <w:t xml:space="preserve"> The Australian Research Data Commons (ARDC) also noted the principle adopted by the European Commission to keep data “as open as possible but as closed as necessary,” see: </w:t>
      </w:r>
      <w:hyperlink r:id="rId9" w:history="1">
        <w:r w:rsidRPr="00A04345">
          <w:rPr>
            <w:rStyle w:val="Hyperlink"/>
            <w:sz w:val="16"/>
          </w:rPr>
          <w:t>https://ardc.edu.au/news/research-data-rights/</w:t>
        </w:r>
      </w:hyperlink>
      <w:r w:rsidRPr="00A04345">
        <w:rPr>
          <w:sz w:val="16"/>
        </w:rPr>
        <w:t xml:space="preserve">  </w:t>
      </w:r>
    </w:p>
  </w:footnote>
  <w:footnote w:id="11">
    <w:p w:rsidR="00234602" w:rsidRPr="00A04345" w:rsidRDefault="00234602">
      <w:pPr>
        <w:pStyle w:val="FootnoteText"/>
        <w:rPr>
          <w:sz w:val="16"/>
        </w:rPr>
      </w:pPr>
      <w:r w:rsidRPr="00A04345">
        <w:rPr>
          <w:rStyle w:val="FootnoteReference"/>
          <w:sz w:val="16"/>
        </w:rPr>
        <w:footnoteRef/>
      </w:r>
      <w:r w:rsidRPr="00A04345">
        <w:rPr>
          <w:sz w:val="16"/>
        </w:rPr>
        <w:t xml:space="preserve"> The 2015 Australian Government Public Data Policy Statement directs agencies to make all non-sensitive data open by default to maximise the benefits of government data.</w:t>
      </w:r>
    </w:p>
  </w:footnote>
  <w:footnote w:id="12">
    <w:p w:rsidR="00234602" w:rsidRPr="001E078C" w:rsidRDefault="00234602">
      <w:pPr>
        <w:pStyle w:val="FootnoteText"/>
        <w:rPr>
          <w:sz w:val="16"/>
          <w:szCs w:val="16"/>
        </w:rPr>
      </w:pPr>
      <w:r w:rsidRPr="001E078C">
        <w:rPr>
          <w:rStyle w:val="FootnoteReference"/>
          <w:sz w:val="16"/>
          <w:szCs w:val="16"/>
        </w:rPr>
        <w:footnoteRef/>
      </w:r>
      <w:r w:rsidRPr="001E078C">
        <w:rPr>
          <w:sz w:val="16"/>
          <w:szCs w:val="16"/>
        </w:rPr>
        <w:t xml:space="preserve"> The Bill contains some exclusions from the override, including for contractual arrangements that prevent sharing. </w:t>
      </w:r>
    </w:p>
  </w:footnote>
  <w:footnote w:id="13">
    <w:p w:rsidR="00234602" w:rsidRPr="00A04345" w:rsidRDefault="00234602">
      <w:pPr>
        <w:pStyle w:val="FootnoteText"/>
        <w:rPr>
          <w:sz w:val="16"/>
        </w:rPr>
      </w:pPr>
      <w:r w:rsidRPr="00A04345">
        <w:rPr>
          <w:rStyle w:val="FootnoteReference"/>
          <w:sz w:val="16"/>
        </w:rPr>
        <w:footnoteRef/>
      </w:r>
      <w:r w:rsidRPr="00A04345">
        <w:rPr>
          <w:sz w:val="16"/>
        </w:rPr>
        <w:t xml:space="preserve"> Issues Paper available at </w:t>
      </w:r>
      <w:hyperlink r:id="rId10" w:history="1">
        <w:r w:rsidRPr="00A04345">
          <w:rPr>
            <w:rStyle w:val="Hyperlink"/>
            <w:sz w:val="16"/>
          </w:rPr>
          <w:t>https://www.datacommissioner.gov.au/resources/2018-issues-paper</w:t>
        </w:r>
      </w:hyperlink>
    </w:p>
  </w:footnote>
  <w:footnote w:id="14">
    <w:p w:rsidR="00234602" w:rsidRPr="00A04345" w:rsidRDefault="00234602">
      <w:pPr>
        <w:pStyle w:val="FootnoteText"/>
        <w:rPr>
          <w:sz w:val="16"/>
        </w:rPr>
      </w:pPr>
      <w:r w:rsidRPr="00A04345">
        <w:rPr>
          <w:rStyle w:val="FootnoteReference"/>
          <w:sz w:val="16"/>
        </w:rPr>
        <w:footnoteRef/>
      </w:r>
      <w:r w:rsidRPr="00A04345">
        <w:rPr>
          <w:sz w:val="16"/>
        </w:rPr>
        <w:t xml:space="preserve"> Discussion Paper available at </w:t>
      </w:r>
      <w:hyperlink r:id="rId11" w:history="1">
        <w:r w:rsidRPr="00A04345">
          <w:rPr>
            <w:rStyle w:val="Hyperlink"/>
            <w:sz w:val="16"/>
          </w:rPr>
          <w:t>https://www.datacommissioner.gov.au/resources/discussion-paper</w:t>
        </w:r>
      </w:hyperlink>
    </w:p>
  </w:footnote>
  <w:footnote w:id="15">
    <w:p w:rsidR="00234602" w:rsidRPr="00A04345" w:rsidRDefault="00234602">
      <w:pPr>
        <w:pStyle w:val="FootnoteText"/>
        <w:rPr>
          <w:sz w:val="16"/>
        </w:rPr>
      </w:pPr>
      <w:r w:rsidRPr="00A04345">
        <w:rPr>
          <w:rStyle w:val="FootnoteReference"/>
          <w:sz w:val="16"/>
        </w:rPr>
        <w:footnoteRef/>
      </w:r>
      <w:r w:rsidRPr="00A04345">
        <w:rPr>
          <w:sz w:val="16"/>
        </w:rPr>
        <w:t xml:space="preserve"> Privacy Impact Assessment of the framework available at </w:t>
      </w:r>
      <w:hyperlink r:id="rId12" w:history="1">
        <w:r w:rsidRPr="00A04345">
          <w:rPr>
            <w:rStyle w:val="Hyperlink"/>
            <w:sz w:val="16"/>
          </w:rPr>
          <w:t>https://www.datacommissioner.gov.au/resources/2019-privacy-impact-assessment</w:t>
        </w:r>
      </w:hyperlink>
    </w:p>
  </w:footnote>
  <w:footnote w:id="16">
    <w:p w:rsidR="00234602" w:rsidRPr="00A04345" w:rsidRDefault="00234602">
      <w:pPr>
        <w:pStyle w:val="FootnoteText"/>
        <w:rPr>
          <w:sz w:val="16"/>
        </w:rPr>
      </w:pPr>
      <w:r w:rsidRPr="00A04345">
        <w:rPr>
          <w:rStyle w:val="FootnoteReference"/>
          <w:sz w:val="16"/>
        </w:rPr>
        <w:footnoteRef/>
      </w:r>
      <w:r w:rsidRPr="00A04345">
        <w:rPr>
          <w:sz w:val="16"/>
        </w:rPr>
        <w:t xml:space="preserve"> To find out more about information sessions, please visit </w:t>
      </w:r>
      <w:hyperlink r:id="rId13" w:history="1">
        <w:r w:rsidR="007C5F27" w:rsidRPr="001E078C">
          <w:rPr>
            <w:rStyle w:val="Hyperlink"/>
            <w:sz w:val="16"/>
          </w:rPr>
          <w:t>https://www.datacommissioner.gov.au/exposure-draft</w:t>
        </w:r>
      </w:hyperlink>
    </w:p>
  </w:footnote>
  <w:footnote w:id="17">
    <w:p w:rsidR="00234602" w:rsidRPr="00A04345" w:rsidRDefault="00234602" w:rsidP="00F97CB6">
      <w:pPr>
        <w:pStyle w:val="FootnoteText"/>
        <w:rPr>
          <w:sz w:val="16"/>
          <w:szCs w:val="16"/>
        </w:rPr>
      </w:pPr>
      <w:r w:rsidRPr="00A04345">
        <w:rPr>
          <w:rStyle w:val="FootnoteReference"/>
          <w:sz w:val="16"/>
          <w:szCs w:val="16"/>
        </w:rPr>
        <w:footnoteRef/>
      </w:r>
      <w:r w:rsidRPr="00A04345">
        <w:rPr>
          <w:sz w:val="16"/>
          <w:szCs w:val="16"/>
        </w:rPr>
        <w:t xml:space="preserve"> </w:t>
      </w:r>
      <w:r>
        <w:rPr>
          <w:sz w:val="16"/>
          <w:szCs w:val="16"/>
        </w:rPr>
        <w:t xml:space="preserve">Some exclusions to this override are provided in the Bill and the </w:t>
      </w:r>
      <w:r w:rsidRPr="00A04345">
        <w:rPr>
          <w:sz w:val="16"/>
          <w:szCs w:val="16"/>
        </w:rPr>
        <w:t>Draft Regulations to Data Availability and Transparency Bill</w:t>
      </w:r>
      <w:r>
        <w:rPr>
          <w:sz w:val="16"/>
          <w:szCs w:val="16"/>
        </w:rPr>
        <w:t xml:space="preserve"> 2020. </w:t>
      </w:r>
    </w:p>
  </w:footnote>
  <w:footnote w:id="18">
    <w:p w:rsidR="00234602" w:rsidRPr="0032537A" w:rsidRDefault="00234602" w:rsidP="001E078C">
      <w:pPr>
        <w:spacing w:after="0"/>
        <w:rPr>
          <w:i/>
          <w:sz w:val="16"/>
          <w:szCs w:val="16"/>
        </w:rPr>
      </w:pPr>
      <w:r>
        <w:rPr>
          <w:rStyle w:val="FootnoteReference"/>
        </w:rPr>
        <w:footnoteRef/>
      </w:r>
      <w:r>
        <w:t xml:space="preserve"> </w:t>
      </w:r>
      <w:r w:rsidRPr="00A04345">
        <w:rPr>
          <w:sz w:val="16"/>
          <w:szCs w:val="16"/>
        </w:rPr>
        <w:t xml:space="preserve">Commonwealth body includes commonwealth agencies and companies under the </w:t>
      </w:r>
      <w:r w:rsidRPr="00A04345">
        <w:rPr>
          <w:i/>
          <w:sz w:val="16"/>
          <w:szCs w:val="16"/>
        </w:rPr>
        <w:t>Public Governance, Performance and Accountability Act 2013</w:t>
      </w:r>
      <w:r w:rsidRPr="00A04345">
        <w:rPr>
          <w:sz w:val="16"/>
          <w:szCs w:val="16"/>
        </w:rPr>
        <w:t xml:space="preserve">, and some other entities including officers and Norfolk Island authorities covered by the </w:t>
      </w:r>
      <w:r w:rsidRPr="00A04345">
        <w:rPr>
          <w:i/>
          <w:sz w:val="16"/>
          <w:szCs w:val="16"/>
        </w:rPr>
        <w:t>Freedom of Information Act 1982</w:t>
      </w:r>
    </w:p>
  </w:footnote>
  <w:footnote w:id="19">
    <w:p w:rsidR="00234602" w:rsidRDefault="00234602" w:rsidP="001E078C">
      <w:pPr>
        <w:spacing w:after="0"/>
      </w:pPr>
      <w:r>
        <w:rPr>
          <w:rStyle w:val="FootnoteReference"/>
        </w:rPr>
        <w:footnoteRef/>
      </w:r>
      <w:r>
        <w:t xml:space="preserve"> </w:t>
      </w:r>
      <w:r w:rsidRPr="009571A4">
        <w:rPr>
          <w:sz w:val="16"/>
          <w:szCs w:val="16"/>
        </w:rPr>
        <w:t>Based on the Five Safes framework</w:t>
      </w:r>
      <w:r>
        <w:rPr>
          <w:sz w:val="16"/>
          <w:szCs w:val="16"/>
        </w:rPr>
        <w:t xml:space="preserve"> </w:t>
      </w:r>
      <w:r w:rsidRPr="0032537A">
        <w:rPr>
          <w:sz w:val="16"/>
          <w:szCs w:val="16"/>
        </w:rPr>
        <w:t>(Desai, T., Ritchie, F., &amp; Welpton, R. (2016). Five Safes: Designing data access for research).</w:t>
      </w:r>
    </w:p>
  </w:footnote>
  <w:footnote w:id="20">
    <w:p w:rsidR="00234602" w:rsidRDefault="00234602" w:rsidP="001E078C">
      <w:pPr>
        <w:spacing w:after="0"/>
      </w:pPr>
      <w:r>
        <w:rPr>
          <w:rStyle w:val="FootnoteReference"/>
        </w:rPr>
        <w:footnoteRef/>
      </w:r>
      <w:r>
        <w:t xml:space="preserve"> </w:t>
      </w:r>
      <w:r w:rsidRPr="00A04345">
        <w:rPr>
          <w:sz w:val="16"/>
          <w:szCs w:val="16"/>
        </w:rPr>
        <w:t>See</w:t>
      </w:r>
      <w:r w:rsidRPr="00A04345">
        <w:rPr>
          <w:color w:val="FF0000"/>
          <w:sz w:val="16"/>
          <w:szCs w:val="16"/>
        </w:rPr>
        <w:t xml:space="preserve"> </w:t>
      </w:r>
      <w:r w:rsidRPr="001E078C">
        <w:rPr>
          <w:sz w:val="16"/>
          <w:szCs w:val="16"/>
        </w:rPr>
        <w:t xml:space="preserve">the </w:t>
      </w:r>
      <w:r w:rsidRPr="00A04345">
        <w:rPr>
          <w:sz w:val="16"/>
          <w:szCs w:val="16"/>
        </w:rPr>
        <w:t xml:space="preserve">guide to applying the data sharing principles are at </w:t>
      </w:r>
      <w:hyperlink r:id="rId14" w:history="1">
        <w:r w:rsidRPr="00A04345">
          <w:rPr>
            <w:rStyle w:val="Hyperlink"/>
            <w:sz w:val="16"/>
            <w:szCs w:val="16"/>
          </w:rPr>
          <w:t>https://www.datacommissioner.gov.au/resources/sharing-data-safely-package</w:t>
        </w:r>
      </w:hyperlink>
    </w:p>
  </w:footnote>
  <w:footnote w:id="21">
    <w:p w:rsidR="00234602" w:rsidRPr="00A04345" w:rsidRDefault="00234602">
      <w:pPr>
        <w:pStyle w:val="FootnoteText"/>
        <w:rPr>
          <w:sz w:val="16"/>
        </w:rPr>
      </w:pPr>
      <w:r w:rsidRPr="00A04345">
        <w:rPr>
          <w:rStyle w:val="FootnoteReference"/>
          <w:sz w:val="16"/>
        </w:rPr>
        <w:footnoteRef/>
      </w:r>
      <w:r w:rsidRPr="00A04345">
        <w:rPr>
          <w:sz w:val="16"/>
        </w:rPr>
        <w:t xml:space="preserve"> Domestic intelligence agencies include the Australian Secret Intelligence Service, the Australian Secret Intelligence Organisation, the Australian Geospatial-Intelligence Organisation, the Defence Intelligence Organisation, the Australian Signals Directorate, and the Office of National Intelligence.</w:t>
      </w:r>
    </w:p>
  </w:footnote>
  <w:footnote w:id="22">
    <w:p w:rsidR="00234602" w:rsidRPr="00A04345" w:rsidRDefault="00234602" w:rsidP="00D862DB">
      <w:pPr>
        <w:pStyle w:val="FootnoteText"/>
        <w:rPr>
          <w:sz w:val="16"/>
        </w:rPr>
      </w:pPr>
      <w:r w:rsidRPr="00A04345">
        <w:rPr>
          <w:rStyle w:val="FootnoteReference"/>
          <w:sz w:val="16"/>
        </w:rPr>
        <w:footnoteRef/>
      </w:r>
      <w:r w:rsidRPr="00A04345">
        <w:rPr>
          <w:sz w:val="16"/>
        </w:rPr>
        <w:t xml:space="preserve"> A draft data sharing agreement template has been released </w:t>
      </w:r>
      <w:hyperlink r:id="rId15" w:history="1">
        <w:r w:rsidRPr="00A04345">
          <w:rPr>
            <w:rStyle w:val="Hyperlink"/>
            <w:sz w:val="16"/>
          </w:rPr>
          <w:t>https://www.datacommissioner.gov.au/resources/draft-data-sharing-agreement-template</w:t>
        </w:r>
      </w:hyperlink>
    </w:p>
  </w:footnote>
  <w:footnote w:id="23">
    <w:p w:rsidR="00234602" w:rsidRPr="001E078C" w:rsidRDefault="00234602" w:rsidP="00294CB1">
      <w:pPr>
        <w:pStyle w:val="FootnoteText"/>
        <w:rPr>
          <w:sz w:val="16"/>
          <w:szCs w:val="16"/>
        </w:rPr>
      </w:pPr>
      <w:r>
        <w:rPr>
          <w:rStyle w:val="FootnoteReference"/>
        </w:rPr>
        <w:footnoteRef/>
      </w:r>
      <w:r>
        <w:t xml:space="preserve"> </w:t>
      </w:r>
      <w:r w:rsidRPr="001E078C">
        <w:rPr>
          <w:sz w:val="16"/>
          <w:szCs w:val="16"/>
        </w:rPr>
        <w:t>The Australian Law Reform Council in its 2014 report on “Serious Invasions of Privacy in the Digital Era” made a case against defining public</w:t>
      </w:r>
      <w:r>
        <w:rPr>
          <w:sz w:val="16"/>
          <w:szCs w:val="16"/>
        </w:rPr>
        <w:t xml:space="preserve"> </w:t>
      </w:r>
      <w:r w:rsidRPr="001E078C">
        <w:rPr>
          <w:sz w:val="16"/>
          <w:szCs w:val="16"/>
        </w:rPr>
        <w:t>interest, stating that defining public interest could “be overly general or overly confined and inflexible” as well as be unable to respond as</w:t>
      </w:r>
      <w:r>
        <w:rPr>
          <w:sz w:val="16"/>
          <w:szCs w:val="16"/>
        </w:rPr>
        <w:t xml:space="preserve"> </w:t>
      </w:r>
      <w:r w:rsidRPr="001E078C">
        <w:rPr>
          <w:sz w:val="16"/>
          <w:szCs w:val="16"/>
        </w:rPr>
        <w:t xml:space="preserve">“community expectations of privacy changes over time”. The report is available at </w:t>
      </w:r>
      <w:hyperlink r:id="rId16" w:history="1">
        <w:r w:rsidRPr="001E078C">
          <w:rPr>
            <w:rStyle w:val="Hyperlink"/>
            <w:sz w:val="16"/>
            <w:szCs w:val="16"/>
          </w:rPr>
          <w:t>https://www.alrc.gov.au/publication/serious-invasions-ofprivacy-</w:t>
        </w:r>
      </w:hyperlink>
      <w:r w:rsidRPr="001E078C">
        <w:rPr>
          <w:sz w:val="16"/>
          <w:szCs w:val="16"/>
        </w:rPr>
        <w:t>in-the-digital-era-dp-80/8-balancing-privacy-with-other-interests/meaning-of-public-interest/</w:t>
      </w:r>
    </w:p>
  </w:footnote>
  <w:footnote w:id="24">
    <w:p w:rsidR="00234602" w:rsidRDefault="00234602" w:rsidP="00360760">
      <w:pPr>
        <w:pStyle w:val="FootnoteText"/>
      </w:pPr>
      <w:r w:rsidRPr="009E1772">
        <w:rPr>
          <w:rStyle w:val="FootnoteReference"/>
          <w:sz w:val="16"/>
        </w:rPr>
        <w:footnoteRef/>
      </w:r>
      <w:r w:rsidRPr="009E1772">
        <w:rPr>
          <w:sz w:val="16"/>
        </w:rPr>
        <w:t xml:space="preserve"> Data scheme entities </w:t>
      </w:r>
      <w:r>
        <w:rPr>
          <w:sz w:val="16"/>
        </w:rPr>
        <w:t>can</w:t>
      </w:r>
      <w:r w:rsidRPr="009E1772">
        <w:rPr>
          <w:sz w:val="16"/>
        </w:rPr>
        <w:t xml:space="preserve"> refer to the NHMRC’s National Statement on Ethical Conduct in Human Research, available at https://www.nhmrc.gov.au/about-us/publications/national-statement-ethical-conduct-human-research-2007-updated-2018</w:t>
      </w:r>
    </w:p>
  </w:footnote>
  <w:footnote w:id="25">
    <w:p w:rsidR="00234602" w:rsidRPr="00F150BF" w:rsidRDefault="00234602" w:rsidP="00714828">
      <w:pPr>
        <w:pStyle w:val="FootnoteText"/>
        <w:rPr>
          <w:sz w:val="16"/>
        </w:rPr>
      </w:pPr>
      <w:r w:rsidRPr="00F150BF">
        <w:rPr>
          <w:rStyle w:val="FootnoteReference"/>
          <w:sz w:val="16"/>
        </w:rPr>
        <w:footnoteRef/>
      </w:r>
      <w:r w:rsidRPr="00F150BF">
        <w:rPr>
          <w:sz w:val="16"/>
        </w:rPr>
        <w:t xml:space="preserve"> CARE Principles for Indigenous Data Governance are available at </w:t>
      </w:r>
      <w:hyperlink r:id="rId17" w:history="1">
        <w:r w:rsidRPr="00F150BF">
          <w:rPr>
            <w:rStyle w:val="Hyperlink"/>
            <w:sz w:val="16"/>
          </w:rPr>
          <w:t>https://www.gida-global.org/care</w:t>
        </w:r>
      </w:hyperlink>
    </w:p>
  </w:footnote>
  <w:footnote w:id="26">
    <w:p w:rsidR="00234602" w:rsidRDefault="00234602" w:rsidP="00170265">
      <w:pPr>
        <w:pStyle w:val="FootnoteText"/>
      </w:pPr>
      <w:r w:rsidRPr="00EE0622">
        <w:rPr>
          <w:rStyle w:val="FootnoteReference"/>
          <w:sz w:val="16"/>
        </w:rPr>
        <w:footnoteRef/>
      </w:r>
      <w:r w:rsidRPr="00EE0622">
        <w:rPr>
          <w:sz w:val="16"/>
        </w:rPr>
        <w:t xml:space="preserve"> See Best Practice Guide to Applying Data Sharing Principles, released March 2019 - https://www.datacommissioner.gov.au/resources/sharing-data-safely-package</w:t>
      </w:r>
    </w:p>
  </w:footnote>
  <w:footnote w:id="27">
    <w:p w:rsidR="00234602" w:rsidRPr="00F150BF" w:rsidRDefault="00234602">
      <w:pPr>
        <w:pStyle w:val="FootnoteText"/>
        <w:rPr>
          <w:sz w:val="16"/>
          <w:szCs w:val="16"/>
        </w:rPr>
      </w:pPr>
      <w:r w:rsidRPr="00F150BF">
        <w:rPr>
          <w:rStyle w:val="FootnoteReference"/>
          <w:sz w:val="16"/>
          <w:szCs w:val="16"/>
        </w:rPr>
        <w:footnoteRef/>
      </w:r>
      <w:r w:rsidRPr="00F150BF">
        <w:rPr>
          <w:sz w:val="16"/>
          <w:szCs w:val="16"/>
        </w:rPr>
        <w:t xml:space="preserve"> Feedback can be provided at </w:t>
      </w:r>
      <w:hyperlink r:id="rId18" w:history="1">
        <w:r w:rsidRPr="001E078C">
          <w:rPr>
            <w:rStyle w:val="Hyperlink"/>
            <w:sz w:val="16"/>
            <w:szCs w:val="16"/>
          </w:rPr>
          <w:t>https://www.datacommissioner.gov.au/exposure-draft</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EAA909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7236F"/>
    <w:multiLevelType w:val="multilevel"/>
    <w:tmpl w:val="D64CA00C"/>
    <w:lvl w:ilvl="0">
      <w:start w:val="1"/>
      <w:numFmt w:val="decimal"/>
      <w:lvlText w:val="%1."/>
      <w:lvlJc w:val="left"/>
      <w:pPr>
        <w:ind w:left="644" w:hanging="36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2" w15:restartNumberingAfterBreak="0">
    <w:nsid w:val="0BA01F81"/>
    <w:multiLevelType w:val="hybridMultilevel"/>
    <w:tmpl w:val="2EBA1C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1551F87"/>
    <w:multiLevelType w:val="hybridMultilevel"/>
    <w:tmpl w:val="8C9CD4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2F62A82"/>
    <w:multiLevelType w:val="hybridMultilevel"/>
    <w:tmpl w:val="0E68FD9E"/>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5" w15:restartNumberingAfterBreak="0">
    <w:nsid w:val="19AE4E3E"/>
    <w:multiLevelType w:val="hybridMultilevel"/>
    <w:tmpl w:val="D2E43306"/>
    <w:lvl w:ilvl="0" w:tplc="0C09000F">
      <w:start w:val="1"/>
      <w:numFmt w:val="decimal"/>
      <w:lvlText w:val="%1."/>
      <w:lvlJc w:val="left"/>
      <w:pPr>
        <w:ind w:left="720" w:hanging="360"/>
      </w:pPr>
      <w:rPr>
        <w:rFonts w:hint="default"/>
      </w:rPr>
    </w:lvl>
    <w:lvl w:ilvl="1" w:tplc="0C090001">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9DC4FBA"/>
    <w:multiLevelType w:val="hybridMultilevel"/>
    <w:tmpl w:val="4394FD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E3E6B57"/>
    <w:multiLevelType w:val="hybridMultilevel"/>
    <w:tmpl w:val="506A8C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0202B47"/>
    <w:multiLevelType w:val="hybridMultilevel"/>
    <w:tmpl w:val="8F38EE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0922B89"/>
    <w:multiLevelType w:val="hybridMultilevel"/>
    <w:tmpl w:val="B0AE7D86"/>
    <w:lvl w:ilvl="0" w:tplc="0C09000F">
      <w:start w:val="1"/>
      <w:numFmt w:val="decimal"/>
      <w:lvlText w:val="%1."/>
      <w:lvlJc w:val="left"/>
      <w:pPr>
        <w:ind w:left="3600" w:hanging="360"/>
      </w:pPr>
    </w:lvl>
    <w:lvl w:ilvl="1" w:tplc="0C090019" w:tentative="1">
      <w:start w:val="1"/>
      <w:numFmt w:val="lowerLetter"/>
      <w:lvlText w:val="%2."/>
      <w:lvlJc w:val="left"/>
      <w:pPr>
        <w:ind w:left="4320" w:hanging="360"/>
      </w:pPr>
    </w:lvl>
    <w:lvl w:ilvl="2" w:tplc="0C09001B" w:tentative="1">
      <w:start w:val="1"/>
      <w:numFmt w:val="lowerRoman"/>
      <w:lvlText w:val="%3."/>
      <w:lvlJc w:val="right"/>
      <w:pPr>
        <w:ind w:left="5040" w:hanging="180"/>
      </w:pPr>
    </w:lvl>
    <w:lvl w:ilvl="3" w:tplc="0C09000F" w:tentative="1">
      <w:start w:val="1"/>
      <w:numFmt w:val="decimal"/>
      <w:lvlText w:val="%4."/>
      <w:lvlJc w:val="left"/>
      <w:pPr>
        <w:ind w:left="5760" w:hanging="360"/>
      </w:pPr>
    </w:lvl>
    <w:lvl w:ilvl="4" w:tplc="0C090019" w:tentative="1">
      <w:start w:val="1"/>
      <w:numFmt w:val="lowerLetter"/>
      <w:lvlText w:val="%5."/>
      <w:lvlJc w:val="left"/>
      <w:pPr>
        <w:ind w:left="6480" w:hanging="360"/>
      </w:pPr>
    </w:lvl>
    <w:lvl w:ilvl="5" w:tplc="0C09001B" w:tentative="1">
      <w:start w:val="1"/>
      <w:numFmt w:val="lowerRoman"/>
      <w:lvlText w:val="%6."/>
      <w:lvlJc w:val="right"/>
      <w:pPr>
        <w:ind w:left="7200" w:hanging="180"/>
      </w:pPr>
    </w:lvl>
    <w:lvl w:ilvl="6" w:tplc="0C09000F" w:tentative="1">
      <w:start w:val="1"/>
      <w:numFmt w:val="decimal"/>
      <w:lvlText w:val="%7."/>
      <w:lvlJc w:val="left"/>
      <w:pPr>
        <w:ind w:left="7920" w:hanging="360"/>
      </w:pPr>
    </w:lvl>
    <w:lvl w:ilvl="7" w:tplc="0C090019" w:tentative="1">
      <w:start w:val="1"/>
      <w:numFmt w:val="lowerLetter"/>
      <w:lvlText w:val="%8."/>
      <w:lvlJc w:val="left"/>
      <w:pPr>
        <w:ind w:left="8640" w:hanging="360"/>
      </w:pPr>
    </w:lvl>
    <w:lvl w:ilvl="8" w:tplc="0C09001B" w:tentative="1">
      <w:start w:val="1"/>
      <w:numFmt w:val="lowerRoman"/>
      <w:lvlText w:val="%9."/>
      <w:lvlJc w:val="right"/>
      <w:pPr>
        <w:ind w:left="9360" w:hanging="180"/>
      </w:pPr>
    </w:lvl>
  </w:abstractNum>
  <w:abstractNum w:abstractNumId="10" w15:restartNumberingAfterBreak="0">
    <w:nsid w:val="2BAB7A7E"/>
    <w:multiLevelType w:val="hybridMultilevel"/>
    <w:tmpl w:val="1B98E0F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1DF6DD2"/>
    <w:multiLevelType w:val="hybridMultilevel"/>
    <w:tmpl w:val="9F8E76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4B72044"/>
    <w:multiLevelType w:val="hybridMultilevel"/>
    <w:tmpl w:val="F99C6E44"/>
    <w:lvl w:ilvl="0" w:tplc="0C09000F">
      <w:start w:val="1"/>
      <w:numFmt w:val="decimal"/>
      <w:lvlText w:val="%1."/>
      <w:lvlJc w:val="left"/>
      <w:pPr>
        <w:ind w:left="723" w:hanging="360"/>
      </w:pPr>
      <w:rPr>
        <w:rFonts w:hint="default"/>
      </w:rPr>
    </w:lvl>
    <w:lvl w:ilvl="1" w:tplc="0C090003" w:tentative="1">
      <w:start w:val="1"/>
      <w:numFmt w:val="bullet"/>
      <w:lvlText w:val="o"/>
      <w:lvlJc w:val="left"/>
      <w:pPr>
        <w:ind w:left="1443" w:hanging="360"/>
      </w:pPr>
      <w:rPr>
        <w:rFonts w:ascii="Courier New" w:hAnsi="Courier New" w:cs="Courier New" w:hint="default"/>
      </w:rPr>
    </w:lvl>
    <w:lvl w:ilvl="2" w:tplc="0C090005" w:tentative="1">
      <w:start w:val="1"/>
      <w:numFmt w:val="bullet"/>
      <w:lvlText w:val=""/>
      <w:lvlJc w:val="left"/>
      <w:pPr>
        <w:ind w:left="2163" w:hanging="360"/>
      </w:pPr>
      <w:rPr>
        <w:rFonts w:ascii="Wingdings" w:hAnsi="Wingdings" w:hint="default"/>
      </w:rPr>
    </w:lvl>
    <w:lvl w:ilvl="3" w:tplc="0C090001" w:tentative="1">
      <w:start w:val="1"/>
      <w:numFmt w:val="bullet"/>
      <w:lvlText w:val=""/>
      <w:lvlJc w:val="left"/>
      <w:pPr>
        <w:ind w:left="2883" w:hanging="360"/>
      </w:pPr>
      <w:rPr>
        <w:rFonts w:ascii="Symbol" w:hAnsi="Symbol" w:hint="default"/>
      </w:rPr>
    </w:lvl>
    <w:lvl w:ilvl="4" w:tplc="0C090003" w:tentative="1">
      <w:start w:val="1"/>
      <w:numFmt w:val="bullet"/>
      <w:lvlText w:val="o"/>
      <w:lvlJc w:val="left"/>
      <w:pPr>
        <w:ind w:left="3603" w:hanging="360"/>
      </w:pPr>
      <w:rPr>
        <w:rFonts w:ascii="Courier New" w:hAnsi="Courier New" w:cs="Courier New" w:hint="default"/>
      </w:rPr>
    </w:lvl>
    <w:lvl w:ilvl="5" w:tplc="0C090005" w:tentative="1">
      <w:start w:val="1"/>
      <w:numFmt w:val="bullet"/>
      <w:lvlText w:val=""/>
      <w:lvlJc w:val="left"/>
      <w:pPr>
        <w:ind w:left="4323" w:hanging="360"/>
      </w:pPr>
      <w:rPr>
        <w:rFonts w:ascii="Wingdings" w:hAnsi="Wingdings" w:hint="default"/>
      </w:rPr>
    </w:lvl>
    <w:lvl w:ilvl="6" w:tplc="0C090001" w:tentative="1">
      <w:start w:val="1"/>
      <w:numFmt w:val="bullet"/>
      <w:lvlText w:val=""/>
      <w:lvlJc w:val="left"/>
      <w:pPr>
        <w:ind w:left="5043" w:hanging="360"/>
      </w:pPr>
      <w:rPr>
        <w:rFonts w:ascii="Symbol" w:hAnsi="Symbol" w:hint="default"/>
      </w:rPr>
    </w:lvl>
    <w:lvl w:ilvl="7" w:tplc="0C090003" w:tentative="1">
      <w:start w:val="1"/>
      <w:numFmt w:val="bullet"/>
      <w:lvlText w:val="o"/>
      <w:lvlJc w:val="left"/>
      <w:pPr>
        <w:ind w:left="5763" w:hanging="360"/>
      </w:pPr>
      <w:rPr>
        <w:rFonts w:ascii="Courier New" w:hAnsi="Courier New" w:cs="Courier New" w:hint="default"/>
      </w:rPr>
    </w:lvl>
    <w:lvl w:ilvl="8" w:tplc="0C090005" w:tentative="1">
      <w:start w:val="1"/>
      <w:numFmt w:val="bullet"/>
      <w:lvlText w:val=""/>
      <w:lvlJc w:val="left"/>
      <w:pPr>
        <w:ind w:left="6483" w:hanging="360"/>
      </w:pPr>
      <w:rPr>
        <w:rFonts w:ascii="Wingdings" w:hAnsi="Wingdings" w:hint="default"/>
      </w:rPr>
    </w:lvl>
  </w:abstractNum>
  <w:abstractNum w:abstractNumId="13" w15:restartNumberingAfterBreak="0">
    <w:nsid w:val="38D203E3"/>
    <w:multiLevelType w:val="multilevel"/>
    <w:tmpl w:val="7B9A330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95002C9"/>
    <w:multiLevelType w:val="hybridMultilevel"/>
    <w:tmpl w:val="03DEC6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F0D201B"/>
    <w:multiLevelType w:val="multilevel"/>
    <w:tmpl w:val="A42006C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0CE6D16"/>
    <w:multiLevelType w:val="hybridMultilevel"/>
    <w:tmpl w:val="26F286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7CB7729"/>
    <w:multiLevelType w:val="hybridMultilevel"/>
    <w:tmpl w:val="B4E8AB1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9C84FA2"/>
    <w:multiLevelType w:val="hybridMultilevel"/>
    <w:tmpl w:val="6492BD46"/>
    <w:lvl w:ilvl="0" w:tplc="0C090001">
      <w:start w:val="1"/>
      <w:numFmt w:val="bullet"/>
      <w:lvlText w:val=""/>
      <w:lvlJc w:val="left"/>
      <w:pPr>
        <w:ind w:left="773" w:hanging="360"/>
      </w:pPr>
      <w:rPr>
        <w:rFonts w:ascii="Symbol" w:hAnsi="Symbol" w:hint="default"/>
      </w:rPr>
    </w:lvl>
    <w:lvl w:ilvl="1" w:tplc="0C090003" w:tentative="1">
      <w:start w:val="1"/>
      <w:numFmt w:val="bullet"/>
      <w:lvlText w:val="o"/>
      <w:lvlJc w:val="left"/>
      <w:pPr>
        <w:ind w:left="1493" w:hanging="360"/>
      </w:pPr>
      <w:rPr>
        <w:rFonts w:ascii="Courier New" w:hAnsi="Courier New" w:cs="Courier New" w:hint="default"/>
      </w:rPr>
    </w:lvl>
    <w:lvl w:ilvl="2" w:tplc="0C090005" w:tentative="1">
      <w:start w:val="1"/>
      <w:numFmt w:val="bullet"/>
      <w:lvlText w:val=""/>
      <w:lvlJc w:val="left"/>
      <w:pPr>
        <w:ind w:left="2213" w:hanging="360"/>
      </w:pPr>
      <w:rPr>
        <w:rFonts w:ascii="Wingdings" w:hAnsi="Wingdings" w:hint="default"/>
      </w:rPr>
    </w:lvl>
    <w:lvl w:ilvl="3" w:tplc="0C090001" w:tentative="1">
      <w:start w:val="1"/>
      <w:numFmt w:val="bullet"/>
      <w:lvlText w:val=""/>
      <w:lvlJc w:val="left"/>
      <w:pPr>
        <w:ind w:left="2933" w:hanging="360"/>
      </w:pPr>
      <w:rPr>
        <w:rFonts w:ascii="Symbol" w:hAnsi="Symbol" w:hint="default"/>
      </w:rPr>
    </w:lvl>
    <w:lvl w:ilvl="4" w:tplc="0C090003" w:tentative="1">
      <w:start w:val="1"/>
      <w:numFmt w:val="bullet"/>
      <w:lvlText w:val="o"/>
      <w:lvlJc w:val="left"/>
      <w:pPr>
        <w:ind w:left="3653" w:hanging="360"/>
      </w:pPr>
      <w:rPr>
        <w:rFonts w:ascii="Courier New" w:hAnsi="Courier New" w:cs="Courier New" w:hint="default"/>
      </w:rPr>
    </w:lvl>
    <w:lvl w:ilvl="5" w:tplc="0C090005" w:tentative="1">
      <w:start w:val="1"/>
      <w:numFmt w:val="bullet"/>
      <w:lvlText w:val=""/>
      <w:lvlJc w:val="left"/>
      <w:pPr>
        <w:ind w:left="4373" w:hanging="360"/>
      </w:pPr>
      <w:rPr>
        <w:rFonts w:ascii="Wingdings" w:hAnsi="Wingdings" w:hint="default"/>
      </w:rPr>
    </w:lvl>
    <w:lvl w:ilvl="6" w:tplc="0C090001" w:tentative="1">
      <w:start w:val="1"/>
      <w:numFmt w:val="bullet"/>
      <w:lvlText w:val=""/>
      <w:lvlJc w:val="left"/>
      <w:pPr>
        <w:ind w:left="5093" w:hanging="360"/>
      </w:pPr>
      <w:rPr>
        <w:rFonts w:ascii="Symbol" w:hAnsi="Symbol" w:hint="default"/>
      </w:rPr>
    </w:lvl>
    <w:lvl w:ilvl="7" w:tplc="0C090003" w:tentative="1">
      <w:start w:val="1"/>
      <w:numFmt w:val="bullet"/>
      <w:lvlText w:val="o"/>
      <w:lvlJc w:val="left"/>
      <w:pPr>
        <w:ind w:left="5813" w:hanging="360"/>
      </w:pPr>
      <w:rPr>
        <w:rFonts w:ascii="Courier New" w:hAnsi="Courier New" w:cs="Courier New" w:hint="default"/>
      </w:rPr>
    </w:lvl>
    <w:lvl w:ilvl="8" w:tplc="0C090005" w:tentative="1">
      <w:start w:val="1"/>
      <w:numFmt w:val="bullet"/>
      <w:lvlText w:val=""/>
      <w:lvlJc w:val="left"/>
      <w:pPr>
        <w:ind w:left="6533" w:hanging="360"/>
      </w:pPr>
      <w:rPr>
        <w:rFonts w:ascii="Wingdings" w:hAnsi="Wingdings" w:hint="default"/>
      </w:rPr>
    </w:lvl>
  </w:abstractNum>
  <w:abstractNum w:abstractNumId="19" w15:restartNumberingAfterBreak="0">
    <w:nsid w:val="49D000EA"/>
    <w:multiLevelType w:val="hybridMultilevel"/>
    <w:tmpl w:val="6B948D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D9B095B"/>
    <w:multiLevelType w:val="hybridMultilevel"/>
    <w:tmpl w:val="8404ED2E"/>
    <w:lvl w:ilvl="0" w:tplc="8B3019E2">
      <w:start w:val="1"/>
      <w:numFmt w:val="upperLetter"/>
      <w:lvlText w:val="Attachment %1."/>
      <w:lvlJc w:val="left"/>
      <w:pPr>
        <w:ind w:left="720" w:hanging="36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51D112F6"/>
    <w:multiLevelType w:val="hybridMultilevel"/>
    <w:tmpl w:val="4F68AE1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2" w15:restartNumberingAfterBreak="0">
    <w:nsid w:val="5B010BDE"/>
    <w:multiLevelType w:val="hybridMultilevel"/>
    <w:tmpl w:val="E496D7A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3" w15:restartNumberingAfterBreak="0">
    <w:nsid w:val="5BE51B0D"/>
    <w:multiLevelType w:val="hybridMultilevel"/>
    <w:tmpl w:val="99F6FB3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5D013925"/>
    <w:multiLevelType w:val="multilevel"/>
    <w:tmpl w:val="1F3EF046"/>
    <w:lvl w:ilvl="0">
      <w:start w:val="1"/>
      <w:numFmt w:val="decimal"/>
      <w:lvlText w:val="%1."/>
      <w:lvlJc w:val="left"/>
      <w:pPr>
        <w:ind w:left="644" w:hanging="360"/>
      </w:pPr>
    </w:lvl>
    <w:lvl w:ilvl="1">
      <w:start w:val="1"/>
      <w:numFmt w:val="decimal"/>
      <w:isLgl/>
      <w:lvlText w:val="%1.%2"/>
      <w:lvlJc w:val="left"/>
      <w:pPr>
        <w:ind w:left="720" w:hanging="720"/>
      </w:pPr>
      <w:rPr>
        <w:b/>
      </w:r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25" w15:restartNumberingAfterBreak="0">
    <w:nsid w:val="69826728"/>
    <w:multiLevelType w:val="hybridMultilevel"/>
    <w:tmpl w:val="713EE7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B266A4D"/>
    <w:multiLevelType w:val="hybridMultilevel"/>
    <w:tmpl w:val="A14698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B0257B0"/>
    <w:multiLevelType w:val="hybridMultilevel"/>
    <w:tmpl w:val="41A6DE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DFD2FF1"/>
    <w:multiLevelType w:val="hybridMultilevel"/>
    <w:tmpl w:val="CBC8406A"/>
    <w:lvl w:ilvl="0" w:tplc="0C090001">
      <w:start w:val="1"/>
      <w:numFmt w:val="bullet"/>
      <w:lvlText w:val=""/>
      <w:lvlJc w:val="left"/>
      <w:pPr>
        <w:ind w:left="723" w:hanging="360"/>
      </w:pPr>
      <w:rPr>
        <w:rFonts w:ascii="Symbol" w:hAnsi="Symbol" w:hint="default"/>
      </w:rPr>
    </w:lvl>
    <w:lvl w:ilvl="1" w:tplc="0C090003" w:tentative="1">
      <w:start w:val="1"/>
      <w:numFmt w:val="bullet"/>
      <w:lvlText w:val="o"/>
      <w:lvlJc w:val="left"/>
      <w:pPr>
        <w:ind w:left="1443" w:hanging="360"/>
      </w:pPr>
      <w:rPr>
        <w:rFonts w:ascii="Courier New" w:hAnsi="Courier New" w:cs="Courier New" w:hint="default"/>
      </w:rPr>
    </w:lvl>
    <w:lvl w:ilvl="2" w:tplc="0C090005" w:tentative="1">
      <w:start w:val="1"/>
      <w:numFmt w:val="bullet"/>
      <w:lvlText w:val=""/>
      <w:lvlJc w:val="left"/>
      <w:pPr>
        <w:ind w:left="2163" w:hanging="360"/>
      </w:pPr>
      <w:rPr>
        <w:rFonts w:ascii="Wingdings" w:hAnsi="Wingdings" w:hint="default"/>
      </w:rPr>
    </w:lvl>
    <w:lvl w:ilvl="3" w:tplc="0C090001" w:tentative="1">
      <w:start w:val="1"/>
      <w:numFmt w:val="bullet"/>
      <w:lvlText w:val=""/>
      <w:lvlJc w:val="left"/>
      <w:pPr>
        <w:ind w:left="2883" w:hanging="360"/>
      </w:pPr>
      <w:rPr>
        <w:rFonts w:ascii="Symbol" w:hAnsi="Symbol" w:hint="default"/>
      </w:rPr>
    </w:lvl>
    <w:lvl w:ilvl="4" w:tplc="0C090003" w:tentative="1">
      <w:start w:val="1"/>
      <w:numFmt w:val="bullet"/>
      <w:lvlText w:val="o"/>
      <w:lvlJc w:val="left"/>
      <w:pPr>
        <w:ind w:left="3603" w:hanging="360"/>
      </w:pPr>
      <w:rPr>
        <w:rFonts w:ascii="Courier New" w:hAnsi="Courier New" w:cs="Courier New" w:hint="default"/>
      </w:rPr>
    </w:lvl>
    <w:lvl w:ilvl="5" w:tplc="0C090005" w:tentative="1">
      <w:start w:val="1"/>
      <w:numFmt w:val="bullet"/>
      <w:lvlText w:val=""/>
      <w:lvlJc w:val="left"/>
      <w:pPr>
        <w:ind w:left="4323" w:hanging="360"/>
      </w:pPr>
      <w:rPr>
        <w:rFonts w:ascii="Wingdings" w:hAnsi="Wingdings" w:hint="default"/>
      </w:rPr>
    </w:lvl>
    <w:lvl w:ilvl="6" w:tplc="0C090001" w:tentative="1">
      <w:start w:val="1"/>
      <w:numFmt w:val="bullet"/>
      <w:lvlText w:val=""/>
      <w:lvlJc w:val="left"/>
      <w:pPr>
        <w:ind w:left="5043" w:hanging="360"/>
      </w:pPr>
      <w:rPr>
        <w:rFonts w:ascii="Symbol" w:hAnsi="Symbol" w:hint="default"/>
      </w:rPr>
    </w:lvl>
    <w:lvl w:ilvl="7" w:tplc="0C090003" w:tentative="1">
      <w:start w:val="1"/>
      <w:numFmt w:val="bullet"/>
      <w:lvlText w:val="o"/>
      <w:lvlJc w:val="left"/>
      <w:pPr>
        <w:ind w:left="5763" w:hanging="360"/>
      </w:pPr>
      <w:rPr>
        <w:rFonts w:ascii="Courier New" w:hAnsi="Courier New" w:cs="Courier New" w:hint="default"/>
      </w:rPr>
    </w:lvl>
    <w:lvl w:ilvl="8" w:tplc="0C090005" w:tentative="1">
      <w:start w:val="1"/>
      <w:numFmt w:val="bullet"/>
      <w:lvlText w:val=""/>
      <w:lvlJc w:val="left"/>
      <w:pPr>
        <w:ind w:left="6483" w:hanging="360"/>
      </w:pPr>
      <w:rPr>
        <w:rFonts w:ascii="Wingdings" w:hAnsi="Wingdings" w:hint="default"/>
      </w:rPr>
    </w:lvl>
  </w:abstractNum>
  <w:num w:numId="1">
    <w:abstractNumId w:val="1"/>
  </w:num>
  <w:num w:numId="2">
    <w:abstractNumId w:val="24"/>
  </w:num>
  <w:num w:numId="3">
    <w:abstractNumId w:val="14"/>
  </w:num>
  <w:num w:numId="4">
    <w:abstractNumId w:val="28"/>
  </w:num>
  <w:num w:numId="5">
    <w:abstractNumId w:val="4"/>
  </w:num>
  <w:num w:numId="6">
    <w:abstractNumId w:val="22"/>
  </w:num>
  <w:num w:numId="7">
    <w:abstractNumId w:val="6"/>
  </w:num>
  <w:num w:numId="8">
    <w:abstractNumId w:val="5"/>
  </w:num>
  <w:num w:numId="9">
    <w:abstractNumId w:val="0"/>
  </w:num>
  <w:num w:numId="10">
    <w:abstractNumId w:val="7"/>
  </w:num>
  <w:num w:numId="11">
    <w:abstractNumId w:val="10"/>
  </w:num>
  <w:num w:numId="12">
    <w:abstractNumId w:val="9"/>
  </w:num>
  <w:num w:numId="13">
    <w:abstractNumId w:val="12"/>
  </w:num>
  <w:num w:numId="14">
    <w:abstractNumId w:val="17"/>
  </w:num>
  <w:num w:numId="15">
    <w:abstractNumId w:val="26"/>
  </w:num>
  <w:num w:numId="16">
    <w:abstractNumId w:val="13"/>
  </w:num>
  <w:num w:numId="17">
    <w:abstractNumId w:val="15"/>
  </w:num>
  <w:num w:numId="18">
    <w:abstractNumId w:val="20"/>
  </w:num>
  <w:num w:numId="19">
    <w:abstractNumId w:val="24"/>
  </w:num>
  <w:num w:numId="20">
    <w:abstractNumId w:val="24"/>
  </w:num>
  <w:num w:numId="21">
    <w:abstractNumId w:val="24"/>
  </w:num>
  <w:num w:numId="22">
    <w:abstractNumId w:val="18"/>
  </w:num>
  <w:num w:numId="23">
    <w:abstractNumId w:val="24"/>
  </w:num>
  <w:num w:numId="24">
    <w:abstractNumId w:val="21"/>
  </w:num>
  <w:num w:numId="25">
    <w:abstractNumId w:val="24"/>
  </w:num>
  <w:num w:numId="26">
    <w:abstractNumId w:val="16"/>
  </w:num>
  <w:num w:numId="27">
    <w:abstractNumId w:val="8"/>
  </w:num>
  <w:num w:numId="28">
    <w:abstractNumId w:val="27"/>
  </w:num>
  <w:num w:numId="29">
    <w:abstractNumId w:val="2"/>
  </w:num>
  <w:num w:numId="30">
    <w:abstractNumId w:val="3"/>
  </w:num>
  <w:num w:numId="31">
    <w:abstractNumId w:val="11"/>
  </w:num>
  <w:num w:numId="32">
    <w:abstractNumId w:val="25"/>
  </w:num>
  <w:num w:numId="33">
    <w:abstractNumId w:val="19"/>
  </w:num>
  <w:num w:numId="34">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3AD"/>
    <w:rsid w:val="00000D4D"/>
    <w:rsid w:val="00000E6B"/>
    <w:rsid w:val="00001964"/>
    <w:rsid w:val="0000356C"/>
    <w:rsid w:val="0000583C"/>
    <w:rsid w:val="0000611F"/>
    <w:rsid w:val="000063D0"/>
    <w:rsid w:val="0000742E"/>
    <w:rsid w:val="0000772C"/>
    <w:rsid w:val="0001006E"/>
    <w:rsid w:val="0001025C"/>
    <w:rsid w:val="00010397"/>
    <w:rsid w:val="00010990"/>
    <w:rsid w:val="000111E1"/>
    <w:rsid w:val="000143D4"/>
    <w:rsid w:val="000148A2"/>
    <w:rsid w:val="00015641"/>
    <w:rsid w:val="00016755"/>
    <w:rsid w:val="000172AE"/>
    <w:rsid w:val="00020BB3"/>
    <w:rsid w:val="00021054"/>
    <w:rsid w:val="00022A48"/>
    <w:rsid w:val="0002355E"/>
    <w:rsid w:val="00023FB9"/>
    <w:rsid w:val="0002416A"/>
    <w:rsid w:val="000243BE"/>
    <w:rsid w:val="00027170"/>
    <w:rsid w:val="0003244C"/>
    <w:rsid w:val="00032AD7"/>
    <w:rsid w:val="00033C32"/>
    <w:rsid w:val="000344C7"/>
    <w:rsid w:val="00036476"/>
    <w:rsid w:val="000429A4"/>
    <w:rsid w:val="00042D03"/>
    <w:rsid w:val="00042DD9"/>
    <w:rsid w:val="00042E5D"/>
    <w:rsid w:val="0004365A"/>
    <w:rsid w:val="00043DD9"/>
    <w:rsid w:val="00043E9E"/>
    <w:rsid w:val="00044FAF"/>
    <w:rsid w:val="0004592E"/>
    <w:rsid w:val="00047C29"/>
    <w:rsid w:val="00050375"/>
    <w:rsid w:val="00051D09"/>
    <w:rsid w:val="00052160"/>
    <w:rsid w:val="00053356"/>
    <w:rsid w:val="00053780"/>
    <w:rsid w:val="000559B2"/>
    <w:rsid w:val="000564B1"/>
    <w:rsid w:val="0005779D"/>
    <w:rsid w:val="0006057F"/>
    <w:rsid w:val="00062609"/>
    <w:rsid w:val="000631A4"/>
    <w:rsid w:val="0006420A"/>
    <w:rsid w:val="00064282"/>
    <w:rsid w:val="00065600"/>
    <w:rsid w:val="000658BA"/>
    <w:rsid w:val="00065BE8"/>
    <w:rsid w:val="0006700C"/>
    <w:rsid w:val="00067576"/>
    <w:rsid w:val="000679E1"/>
    <w:rsid w:val="000703B4"/>
    <w:rsid w:val="00071145"/>
    <w:rsid w:val="0007175B"/>
    <w:rsid w:val="000722C3"/>
    <w:rsid w:val="00072312"/>
    <w:rsid w:val="00073603"/>
    <w:rsid w:val="00073D8C"/>
    <w:rsid w:val="00074830"/>
    <w:rsid w:val="00075011"/>
    <w:rsid w:val="000756FA"/>
    <w:rsid w:val="000758EA"/>
    <w:rsid w:val="00075E33"/>
    <w:rsid w:val="000762F3"/>
    <w:rsid w:val="00085AAE"/>
    <w:rsid w:val="0008670B"/>
    <w:rsid w:val="00087124"/>
    <w:rsid w:val="00087A1D"/>
    <w:rsid w:val="00087B1C"/>
    <w:rsid w:val="00090CE5"/>
    <w:rsid w:val="00093F35"/>
    <w:rsid w:val="000943D7"/>
    <w:rsid w:val="00095F46"/>
    <w:rsid w:val="0009649A"/>
    <w:rsid w:val="000A03CE"/>
    <w:rsid w:val="000A1BEF"/>
    <w:rsid w:val="000A2110"/>
    <w:rsid w:val="000A238B"/>
    <w:rsid w:val="000A2EE7"/>
    <w:rsid w:val="000A30DF"/>
    <w:rsid w:val="000A5099"/>
    <w:rsid w:val="000A55C2"/>
    <w:rsid w:val="000A5C1D"/>
    <w:rsid w:val="000A6750"/>
    <w:rsid w:val="000A6C99"/>
    <w:rsid w:val="000A7C3A"/>
    <w:rsid w:val="000B06FF"/>
    <w:rsid w:val="000B1133"/>
    <w:rsid w:val="000B1A89"/>
    <w:rsid w:val="000B1F4D"/>
    <w:rsid w:val="000B235A"/>
    <w:rsid w:val="000B24E1"/>
    <w:rsid w:val="000B5373"/>
    <w:rsid w:val="000B6FB6"/>
    <w:rsid w:val="000C029C"/>
    <w:rsid w:val="000C0EB2"/>
    <w:rsid w:val="000C23C4"/>
    <w:rsid w:val="000C27F2"/>
    <w:rsid w:val="000C341F"/>
    <w:rsid w:val="000C5B2F"/>
    <w:rsid w:val="000C6509"/>
    <w:rsid w:val="000D00F1"/>
    <w:rsid w:val="000D0D5F"/>
    <w:rsid w:val="000D0DDA"/>
    <w:rsid w:val="000D10C5"/>
    <w:rsid w:val="000D35E8"/>
    <w:rsid w:val="000D4827"/>
    <w:rsid w:val="000D4984"/>
    <w:rsid w:val="000D662F"/>
    <w:rsid w:val="000D66E3"/>
    <w:rsid w:val="000D6E02"/>
    <w:rsid w:val="000D7A5A"/>
    <w:rsid w:val="000E15C6"/>
    <w:rsid w:val="000E1A04"/>
    <w:rsid w:val="000E3C60"/>
    <w:rsid w:val="000E4897"/>
    <w:rsid w:val="000E48B5"/>
    <w:rsid w:val="000E4D02"/>
    <w:rsid w:val="000E4D63"/>
    <w:rsid w:val="000E5932"/>
    <w:rsid w:val="000E6DF4"/>
    <w:rsid w:val="000E7220"/>
    <w:rsid w:val="000E77F8"/>
    <w:rsid w:val="000F0CCB"/>
    <w:rsid w:val="000F0DEA"/>
    <w:rsid w:val="000F162F"/>
    <w:rsid w:val="000F279C"/>
    <w:rsid w:val="000F27CD"/>
    <w:rsid w:val="000F3085"/>
    <w:rsid w:val="000F6086"/>
    <w:rsid w:val="000F7E7A"/>
    <w:rsid w:val="00100313"/>
    <w:rsid w:val="001016EB"/>
    <w:rsid w:val="001022CD"/>
    <w:rsid w:val="001032F7"/>
    <w:rsid w:val="00103C3C"/>
    <w:rsid w:val="00103F93"/>
    <w:rsid w:val="001052AE"/>
    <w:rsid w:val="0010656F"/>
    <w:rsid w:val="00110664"/>
    <w:rsid w:val="00110C3E"/>
    <w:rsid w:val="00116548"/>
    <w:rsid w:val="00116811"/>
    <w:rsid w:val="00116BBF"/>
    <w:rsid w:val="001176EC"/>
    <w:rsid w:val="00117C7D"/>
    <w:rsid w:val="00121080"/>
    <w:rsid w:val="00122E0A"/>
    <w:rsid w:val="001249F9"/>
    <w:rsid w:val="0012673A"/>
    <w:rsid w:val="00130FB6"/>
    <w:rsid w:val="001318E3"/>
    <w:rsid w:val="00132238"/>
    <w:rsid w:val="001326A8"/>
    <w:rsid w:val="00135484"/>
    <w:rsid w:val="001355BE"/>
    <w:rsid w:val="00135F91"/>
    <w:rsid w:val="00136063"/>
    <w:rsid w:val="00137ED8"/>
    <w:rsid w:val="001428A5"/>
    <w:rsid w:val="00142CEF"/>
    <w:rsid w:val="00143CBD"/>
    <w:rsid w:val="00143F2A"/>
    <w:rsid w:val="00144C8F"/>
    <w:rsid w:val="00145383"/>
    <w:rsid w:val="00146307"/>
    <w:rsid w:val="0014703A"/>
    <w:rsid w:val="00147673"/>
    <w:rsid w:val="001508BC"/>
    <w:rsid w:val="00151600"/>
    <w:rsid w:val="00151AF7"/>
    <w:rsid w:val="0015398B"/>
    <w:rsid w:val="00153A5C"/>
    <w:rsid w:val="00155AEC"/>
    <w:rsid w:val="001561B2"/>
    <w:rsid w:val="001565C7"/>
    <w:rsid w:val="00156F8C"/>
    <w:rsid w:val="00161815"/>
    <w:rsid w:val="00161E85"/>
    <w:rsid w:val="0016350B"/>
    <w:rsid w:val="001646A4"/>
    <w:rsid w:val="00164F1C"/>
    <w:rsid w:val="0016609B"/>
    <w:rsid w:val="00170265"/>
    <w:rsid w:val="00170947"/>
    <w:rsid w:val="0017098A"/>
    <w:rsid w:val="001715CC"/>
    <w:rsid w:val="001720C6"/>
    <w:rsid w:val="00172711"/>
    <w:rsid w:val="00173515"/>
    <w:rsid w:val="00173E19"/>
    <w:rsid w:val="001745C9"/>
    <w:rsid w:val="001758F5"/>
    <w:rsid w:val="001767A0"/>
    <w:rsid w:val="00177247"/>
    <w:rsid w:val="001775A6"/>
    <w:rsid w:val="00177BC8"/>
    <w:rsid w:val="001806F9"/>
    <w:rsid w:val="00180AFC"/>
    <w:rsid w:val="0018192F"/>
    <w:rsid w:val="00181CD0"/>
    <w:rsid w:val="001831FD"/>
    <w:rsid w:val="00183D9A"/>
    <w:rsid w:val="00183ED0"/>
    <w:rsid w:val="00185081"/>
    <w:rsid w:val="00185D9F"/>
    <w:rsid w:val="0018659B"/>
    <w:rsid w:val="00186D21"/>
    <w:rsid w:val="00187265"/>
    <w:rsid w:val="0019235B"/>
    <w:rsid w:val="001939F3"/>
    <w:rsid w:val="00196962"/>
    <w:rsid w:val="00197227"/>
    <w:rsid w:val="001A16AF"/>
    <w:rsid w:val="001A186A"/>
    <w:rsid w:val="001A1CA1"/>
    <w:rsid w:val="001A20BB"/>
    <w:rsid w:val="001A22A6"/>
    <w:rsid w:val="001A2665"/>
    <w:rsid w:val="001A293A"/>
    <w:rsid w:val="001A43AD"/>
    <w:rsid w:val="001A448D"/>
    <w:rsid w:val="001A4AF9"/>
    <w:rsid w:val="001A51B7"/>
    <w:rsid w:val="001A6BC2"/>
    <w:rsid w:val="001A6D9D"/>
    <w:rsid w:val="001B022A"/>
    <w:rsid w:val="001B0A48"/>
    <w:rsid w:val="001B2C12"/>
    <w:rsid w:val="001B33AC"/>
    <w:rsid w:val="001B347C"/>
    <w:rsid w:val="001B369C"/>
    <w:rsid w:val="001B6FC4"/>
    <w:rsid w:val="001B7F4A"/>
    <w:rsid w:val="001C1FC4"/>
    <w:rsid w:val="001C20FA"/>
    <w:rsid w:val="001C239C"/>
    <w:rsid w:val="001C46BA"/>
    <w:rsid w:val="001C48C0"/>
    <w:rsid w:val="001C4CF6"/>
    <w:rsid w:val="001C4EF1"/>
    <w:rsid w:val="001C5BBC"/>
    <w:rsid w:val="001C6360"/>
    <w:rsid w:val="001C6B94"/>
    <w:rsid w:val="001C6DBB"/>
    <w:rsid w:val="001D129B"/>
    <w:rsid w:val="001D2455"/>
    <w:rsid w:val="001D26E8"/>
    <w:rsid w:val="001D3BAD"/>
    <w:rsid w:val="001D3E68"/>
    <w:rsid w:val="001D4021"/>
    <w:rsid w:val="001D60DE"/>
    <w:rsid w:val="001D73D6"/>
    <w:rsid w:val="001D7B4F"/>
    <w:rsid w:val="001E03D5"/>
    <w:rsid w:val="001E078C"/>
    <w:rsid w:val="001E0DEE"/>
    <w:rsid w:val="001E1738"/>
    <w:rsid w:val="001E1B7E"/>
    <w:rsid w:val="001E2607"/>
    <w:rsid w:val="001E2C98"/>
    <w:rsid w:val="001E4705"/>
    <w:rsid w:val="001E56C4"/>
    <w:rsid w:val="001E744F"/>
    <w:rsid w:val="001E7C2A"/>
    <w:rsid w:val="001F156D"/>
    <w:rsid w:val="001F20D2"/>
    <w:rsid w:val="001F2696"/>
    <w:rsid w:val="001F300D"/>
    <w:rsid w:val="001F38D1"/>
    <w:rsid w:val="001F3932"/>
    <w:rsid w:val="001F3956"/>
    <w:rsid w:val="001F4C08"/>
    <w:rsid w:val="001F57CC"/>
    <w:rsid w:val="001F6332"/>
    <w:rsid w:val="001F67BD"/>
    <w:rsid w:val="001F7918"/>
    <w:rsid w:val="0020056E"/>
    <w:rsid w:val="00200B33"/>
    <w:rsid w:val="00200C9D"/>
    <w:rsid w:val="00201975"/>
    <w:rsid w:val="00203064"/>
    <w:rsid w:val="0020526B"/>
    <w:rsid w:val="002072A0"/>
    <w:rsid w:val="002072B5"/>
    <w:rsid w:val="002111A8"/>
    <w:rsid w:val="0021218E"/>
    <w:rsid w:val="00212A4B"/>
    <w:rsid w:val="002131A1"/>
    <w:rsid w:val="0021483B"/>
    <w:rsid w:val="00214A68"/>
    <w:rsid w:val="002165E7"/>
    <w:rsid w:val="00216997"/>
    <w:rsid w:val="00216BC5"/>
    <w:rsid w:val="00216C98"/>
    <w:rsid w:val="00217DA7"/>
    <w:rsid w:val="00221029"/>
    <w:rsid w:val="00221A66"/>
    <w:rsid w:val="0022207A"/>
    <w:rsid w:val="00223E83"/>
    <w:rsid w:val="002256B3"/>
    <w:rsid w:val="0022613F"/>
    <w:rsid w:val="0022655F"/>
    <w:rsid w:val="00226929"/>
    <w:rsid w:val="00227688"/>
    <w:rsid w:val="002326E7"/>
    <w:rsid w:val="002338AC"/>
    <w:rsid w:val="00234602"/>
    <w:rsid w:val="002371BF"/>
    <w:rsid w:val="00237270"/>
    <w:rsid w:val="00240EC9"/>
    <w:rsid w:val="002421C4"/>
    <w:rsid w:val="00242600"/>
    <w:rsid w:val="002426B3"/>
    <w:rsid w:val="00243EDF"/>
    <w:rsid w:val="0024565C"/>
    <w:rsid w:val="00245CEB"/>
    <w:rsid w:val="00246CA9"/>
    <w:rsid w:val="00247F6B"/>
    <w:rsid w:val="00251A7D"/>
    <w:rsid w:val="00251C87"/>
    <w:rsid w:val="00252193"/>
    <w:rsid w:val="00254A4D"/>
    <w:rsid w:val="00255BE0"/>
    <w:rsid w:val="00255F93"/>
    <w:rsid w:val="00256A9A"/>
    <w:rsid w:val="00256DA3"/>
    <w:rsid w:val="00256F16"/>
    <w:rsid w:val="00261069"/>
    <w:rsid w:val="002615D6"/>
    <w:rsid w:val="00263C1D"/>
    <w:rsid w:val="00264C93"/>
    <w:rsid w:val="0026504D"/>
    <w:rsid w:val="0026507A"/>
    <w:rsid w:val="00265416"/>
    <w:rsid w:val="00265628"/>
    <w:rsid w:val="00265FB0"/>
    <w:rsid w:val="002660BF"/>
    <w:rsid w:val="00267374"/>
    <w:rsid w:val="00267ABA"/>
    <w:rsid w:val="00267F93"/>
    <w:rsid w:val="00272BD6"/>
    <w:rsid w:val="00273482"/>
    <w:rsid w:val="00276989"/>
    <w:rsid w:val="00276DEF"/>
    <w:rsid w:val="00277692"/>
    <w:rsid w:val="0028248A"/>
    <w:rsid w:val="00283556"/>
    <w:rsid w:val="002843FE"/>
    <w:rsid w:val="0028450C"/>
    <w:rsid w:val="00284B27"/>
    <w:rsid w:val="0028724F"/>
    <w:rsid w:val="002876E1"/>
    <w:rsid w:val="00287D56"/>
    <w:rsid w:val="00292BC2"/>
    <w:rsid w:val="002930BA"/>
    <w:rsid w:val="00293253"/>
    <w:rsid w:val="002946F4"/>
    <w:rsid w:val="00294CB1"/>
    <w:rsid w:val="00295264"/>
    <w:rsid w:val="0029557E"/>
    <w:rsid w:val="00295CAC"/>
    <w:rsid w:val="002977B4"/>
    <w:rsid w:val="002A0007"/>
    <w:rsid w:val="002A0366"/>
    <w:rsid w:val="002A07C9"/>
    <w:rsid w:val="002A0866"/>
    <w:rsid w:val="002A1D7D"/>
    <w:rsid w:val="002A1FA5"/>
    <w:rsid w:val="002A4068"/>
    <w:rsid w:val="002A5384"/>
    <w:rsid w:val="002A566F"/>
    <w:rsid w:val="002A64B6"/>
    <w:rsid w:val="002A7219"/>
    <w:rsid w:val="002B050F"/>
    <w:rsid w:val="002B177B"/>
    <w:rsid w:val="002B3D22"/>
    <w:rsid w:val="002B3D8D"/>
    <w:rsid w:val="002B4012"/>
    <w:rsid w:val="002B5AC2"/>
    <w:rsid w:val="002B6409"/>
    <w:rsid w:val="002B7A6A"/>
    <w:rsid w:val="002C03DA"/>
    <w:rsid w:val="002C0A06"/>
    <w:rsid w:val="002C3458"/>
    <w:rsid w:val="002C35F6"/>
    <w:rsid w:val="002C49D1"/>
    <w:rsid w:val="002C4ED0"/>
    <w:rsid w:val="002C5C04"/>
    <w:rsid w:val="002C7415"/>
    <w:rsid w:val="002D48D5"/>
    <w:rsid w:val="002D5778"/>
    <w:rsid w:val="002D7740"/>
    <w:rsid w:val="002E015F"/>
    <w:rsid w:val="002E084E"/>
    <w:rsid w:val="002E0B94"/>
    <w:rsid w:val="002E120C"/>
    <w:rsid w:val="002E277F"/>
    <w:rsid w:val="002E3577"/>
    <w:rsid w:val="002E3AB4"/>
    <w:rsid w:val="002E41DB"/>
    <w:rsid w:val="002E4D40"/>
    <w:rsid w:val="002E5842"/>
    <w:rsid w:val="002E5966"/>
    <w:rsid w:val="002E6F2F"/>
    <w:rsid w:val="002F069F"/>
    <w:rsid w:val="002F1A50"/>
    <w:rsid w:val="002F29ED"/>
    <w:rsid w:val="002F2C85"/>
    <w:rsid w:val="002F64AA"/>
    <w:rsid w:val="003004A2"/>
    <w:rsid w:val="00301A6A"/>
    <w:rsid w:val="00302251"/>
    <w:rsid w:val="00302B48"/>
    <w:rsid w:val="00302D96"/>
    <w:rsid w:val="00303F9C"/>
    <w:rsid w:val="003045CF"/>
    <w:rsid w:val="00304CD6"/>
    <w:rsid w:val="003056AD"/>
    <w:rsid w:val="00306133"/>
    <w:rsid w:val="00306532"/>
    <w:rsid w:val="0030696C"/>
    <w:rsid w:val="00312C08"/>
    <w:rsid w:val="00315C3F"/>
    <w:rsid w:val="00316076"/>
    <w:rsid w:val="003168FA"/>
    <w:rsid w:val="00317273"/>
    <w:rsid w:val="003204A6"/>
    <w:rsid w:val="00322F7F"/>
    <w:rsid w:val="00324853"/>
    <w:rsid w:val="00324B16"/>
    <w:rsid w:val="0032537A"/>
    <w:rsid w:val="003271CC"/>
    <w:rsid w:val="00327283"/>
    <w:rsid w:val="00327C4D"/>
    <w:rsid w:val="00331272"/>
    <w:rsid w:val="00332F4F"/>
    <w:rsid w:val="003330CB"/>
    <w:rsid w:val="0033384D"/>
    <w:rsid w:val="00333EA6"/>
    <w:rsid w:val="003347C3"/>
    <w:rsid w:val="00335800"/>
    <w:rsid w:val="00335D09"/>
    <w:rsid w:val="003406FB"/>
    <w:rsid w:val="0034188F"/>
    <w:rsid w:val="003426A2"/>
    <w:rsid w:val="00343008"/>
    <w:rsid w:val="003430CB"/>
    <w:rsid w:val="003433E5"/>
    <w:rsid w:val="00345A97"/>
    <w:rsid w:val="003474B9"/>
    <w:rsid w:val="003476B0"/>
    <w:rsid w:val="00350225"/>
    <w:rsid w:val="00351FB0"/>
    <w:rsid w:val="00352E92"/>
    <w:rsid w:val="00353580"/>
    <w:rsid w:val="00354990"/>
    <w:rsid w:val="003552FA"/>
    <w:rsid w:val="00355823"/>
    <w:rsid w:val="00356189"/>
    <w:rsid w:val="003567E0"/>
    <w:rsid w:val="003606FD"/>
    <w:rsid w:val="00360760"/>
    <w:rsid w:val="00360C07"/>
    <w:rsid w:val="003648E8"/>
    <w:rsid w:val="00365358"/>
    <w:rsid w:val="00366461"/>
    <w:rsid w:val="0036731D"/>
    <w:rsid w:val="0037085E"/>
    <w:rsid w:val="00370E2F"/>
    <w:rsid w:val="00371B6A"/>
    <w:rsid w:val="00371D20"/>
    <w:rsid w:val="00372387"/>
    <w:rsid w:val="00373C37"/>
    <w:rsid w:val="00373EB1"/>
    <w:rsid w:val="00374639"/>
    <w:rsid w:val="00374D3E"/>
    <w:rsid w:val="00375BE9"/>
    <w:rsid w:val="00376117"/>
    <w:rsid w:val="0037685C"/>
    <w:rsid w:val="0037697B"/>
    <w:rsid w:val="00376C17"/>
    <w:rsid w:val="00377F6E"/>
    <w:rsid w:val="00380023"/>
    <w:rsid w:val="00380B2C"/>
    <w:rsid w:val="00380E50"/>
    <w:rsid w:val="00381AA2"/>
    <w:rsid w:val="00381F61"/>
    <w:rsid w:val="00381FEE"/>
    <w:rsid w:val="0038380F"/>
    <w:rsid w:val="0038435F"/>
    <w:rsid w:val="00384B50"/>
    <w:rsid w:val="00385025"/>
    <w:rsid w:val="003874D4"/>
    <w:rsid w:val="00387ABE"/>
    <w:rsid w:val="00387D63"/>
    <w:rsid w:val="00390FB4"/>
    <w:rsid w:val="003910A0"/>
    <w:rsid w:val="00391E5E"/>
    <w:rsid w:val="00392261"/>
    <w:rsid w:val="003964ED"/>
    <w:rsid w:val="00396664"/>
    <w:rsid w:val="00397027"/>
    <w:rsid w:val="003A1874"/>
    <w:rsid w:val="003A27BD"/>
    <w:rsid w:val="003A3571"/>
    <w:rsid w:val="003A5117"/>
    <w:rsid w:val="003A53AE"/>
    <w:rsid w:val="003A54AA"/>
    <w:rsid w:val="003A5DE3"/>
    <w:rsid w:val="003A5E1C"/>
    <w:rsid w:val="003A6E2C"/>
    <w:rsid w:val="003A7264"/>
    <w:rsid w:val="003A7ACD"/>
    <w:rsid w:val="003A7AEC"/>
    <w:rsid w:val="003A7D77"/>
    <w:rsid w:val="003B05F5"/>
    <w:rsid w:val="003B2949"/>
    <w:rsid w:val="003B2BB5"/>
    <w:rsid w:val="003B5135"/>
    <w:rsid w:val="003B7EDC"/>
    <w:rsid w:val="003C0A2F"/>
    <w:rsid w:val="003C0B68"/>
    <w:rsid w:val="003C0C7F"/>
    <w:rsid w:val="003C1FA5"/>
    <w:rsid w:val="003C271B"/>
    <w:rsid w:val="003C3750"/>
    <w:rsid w:val="003C3C1A"/>
    <w:rsid w:val="003C53B7"/>
    <w:rsid w:val="003C6417"/>
    <w:rsid w:val="003C65E2"/>
    <w:rsid w:val="003C68EB"/>
    <w:rsid w:val="003D0E15"/>
    <w:rsid w:val="003D12E8"/>
    <w:rsid w:val="003D1562"/>
    <w:rsid w:val="003D1A1A"/>
    <w:rsid w:val="003D2675"/>
    <w:rsid w:val="003D37D0"/>
    <w:rsid w:val="003D6394"/>
    <w:rsid w:val="003D774E"/>
    <w:rsid w:val="003E32F3"/>
    <w:rsid w:val="003E335E"/>
    <w:rsid w:val="003E46D3"/>
    <w:rsid w:val="003E4884"/>
    <w:rsid w:val="003E59A4"/>
    <w:rsid w:val="003E5D2B"/>
    <w:rsid w:val="003F01AA"/>
    <w:rsid w:val="003F0DF3"/>
    <w:rsid w:val="003F136E"/>
    <w:rsid w:val="003F75C2"/>
    <w:rsid w:val="003F7C20"/>
    <w:rsid w:val="004001AE"/>
    <w:rsid w:val="004028DB"/>
    <w:rsid w:val="00402A2C"/>
    <w:rsid w:val="00403C91"/>
    <w:rsid w:val="004048FB"/>
    <w:rsid w:val="004049DC"/>
    <w:rsid w:val="00404DD9"/>
    <w:rsid w:val="0040575A"/>
    <w:rsid w:val="00407BFF"/>
    <w:rsid w:val="004108ED"/>
    <w:rsid w:val="00412778"/>
    <w:rsid w:val="00413F34"/>
    <w:rsid w:val="00415CFF"/>
    <w:rsid w:val="0041632E"/>
    <w:rsid w:val="00420943"/>
    <w:rsid w:val="00420F50"/>
    <w:rsid w:val="0042110E"/>
    <w:rsid w:val="00421893"/>
    <w:rsid w:val="00421958"/>
    <w:rsid w:val="00421CF2"/>
    <w:rsid w:val="00421F0B"/>
    <w:rsid w:val="0042269E"/>
    <w:rsid w:val="004233C7"/>
    <w:rsid w:val="0042373A"/>
    <w:rsid w:val="00424A5E"/>
    <w:rsid w:val="0042510B"/>
    <w:rsid w:val="0042563E"/>
    <w:rsid w:val="004265CD"/>
    <w:rsid w:val="004269DD"/>
    <w:rsid w:val="00426D62"/>
    <w:rsid w:val="004272D9"/>
    <w:rsid w:val="00427814"/>
    <w:rsid w:val="00427AC6"/>
    <w:rsid w:val="004311E7"/>
    <w:rsid w:val="00431347"/>
    <w:rsid w:val="00435F37"/>
    <w:rsid w:val="00436518"/>
    <w:rsid w:val="00437AD1"/>
    <w:rsid w:val="004400AB"/>
    <w:rsid w:val="004406A2"/>
    <w:rsid w:val="00444484"/>
    <w:rsid w:val="0044616D"/>
    <w:rsid w:val="0045146A"/>
    <w:rsid w:val="00455B8E"/>
    <w:rsid w:val="004570C2"/>
    <w:rsid w:val="004575E7"/>
    <w:rsid w:val="00460181"/>
    <w:rsid w:val="00460771"/>
    <w:rsid w:val="004612CD"/>
    <w:rsid w:val="004622C6"/>
    <w:rsid w:val="004630EB"/>
    <w:rsid w:val="0046746A"/>
    <w:rsid w:val="00467A61"/>
    <w:rsid w:val="00467E4A"/>
    <w:rsid w:val="00467E66"/>
    <w:rsid w:val="00470C63"/>
    <w:rsid w:val="0047173C"/>
    <w:rsid w:val="0047198E"/>
    <w:rsid w:val="00472D64"/>
    <w:rsid w:val="00473DB9"/>
    <w:rsid w:val="0048087B"/>
    <w:rsid w:val="00480BD3"/>
    <w:rsid w:val="00480E21"/>
    <w:rsid w:val="00480E98"/>
    <w:rsid w:val="00482E6E"/>
    <w:rsid w:val="00483DE6"/>
    <w:rsid w:val="0048461C"/>
    <w:rsid w:val="00484B64"/>
    <w:rsid w:val="00484E93"/>
    <w:rsid w:val="004852A2"/>
    <w:rsid w:val="00485560"/>
    <w:rsid w:val="00485A09"/>
    <w:rsid w:val="00485AC3"/>
    <w:rsid w:val="00485EBB"/>
    <w:rsid w:val="004869CB"/>
    <w:rsid w:val="00486F5C"/>
    <w:rsid w:val="004870A3"/>
    <w:rsid w:val="004872C7"/>
    <w:rsid w:val="00490C28"/>
    <w:rsid w:val="00491431"/>
    <w:rsid w:val="00492649"/>
    <w:rsid w:val="004942CC"/>
    <w:rsid w:val="0049673C"/>
    <w:rsid w:val="004967D2"/>
    <w:rsid w:val="004A1963"/>
    <w:rsid w:val="004A1F24"/>
    <w:rsid w:val="004A280C"/>
    <w:rsid w:val="004A2A7A"/>
    <w:rsid w:val="004A3498"/>
    <w:rsid w:val="004A3559"/>
    <w:rsid w:val="004A35EF"/>
    <w:rsid w:val="004A3EAD"/>
    <w:rsid w:val="004A78B8"/>
    <w:rsid w:val="004A7B86"/>
    <w:rsid w:val="004B0673"/>
    <w:rsid w:val="004B39A1"/>
    <w:rsid w:val="004B4A57"/>
    <w:rsid w:val="004B7369"/>
    <w:rsid w:val="004C0B5D"/>
    <w:rsid w:val="004C1A95"/>
    <w:rsid w:val="004C1FCF"/>
    <w:rsid w:val="004C22A6"/>
    <w:rsid w:val="004C3EDE"/>
    <w:rsid w:val="004C444E"/>
    <w:rsid w:val="004C4B0C"/>
    <w:rsid w:val="004C4B21"/>
    <w:rsid w:val="004D02EF"/>
    <w:rsid w:val="004D0332"/>
    <w:rsid w:val="004D0974"/>
    <w:rsid w:val="004D0A6A"/>
    <w:rsid w:val="004D375D"/>
    <w:rsid w:val="004D41A8"/>
    <w:rsid w:val="004D4D33"/>
    <w:rsid w:val="004D5285"/>
    <w:rsid w:val="004D55E0"/>
    <w:rsid w:val="004D585F"/>
    <w:rsid w:val="004D62A0"/>
    <w:rsid w:val="004E1484"/>
    <w:rsid w:val="004E17BA"/>
    <w:rsid w:val="004E33C4"/>
    <w:rsid w:val="004E3C1B"/>
    <w:rsid w:val="004E4113"/>
    <w:rsid w:val="004E4935"/>
    <w:rsid w:val="004E4C38"/>
    <w:rsid w:val="004E5888"/>
    <w:rsid w:val="004E76AC"/>
    <w:rsid w:val="004F132E"/>
    <w:rsid w:val="004F59F6"/>
    <w:rsid w:val="004F7087"/>
    <w:rsid w:val="004F7E73"/>
    <w:rsid w:val="005005D0"/>
    <w:rsid w:val="00501A3E"/>
    <w:rsid w:val="00502F59"/>
    <w:rsid w:val="00503126"/>
    <w:rsid w:val="005041A8"/>
    <w:rsid w:val="00507A7B"/>
    <w:rsid w:val="0051054E"/>
    <w:rsid w:val="00510F63"/>
    <w:rsid w:val="005121BB"/>
    <w:rsid w:val="005150C7"/>
    <w:rsid w:val="00516DBB"/>
    <w:rsid w:val="00517141"/>
    <w:rsid w:val="00520D4B"/>
    <w:rsid w:val="00522A4A"/>
    <w:rsid w:val="00523C46"/>
    <w:rsid w:val="00524F28"/>
    <w:rsid w:val="0052676E"/>
    <w:rsid w:val="00526DC1"/>
    <w:rsid w:val="005277D6"/>
    <w:rsid w:val="00527E20"/>
    <w:rsid w:val="0053034E"/>
    <w:rsid w:val="00530796"/>
    <w:rsid w:val="00531778"/>
    <w:rsid w:val="00532586"/>
    <w:rsid w:val="005349FE"/>
    <w:rsid w:val="00536FD3"/>
    <w:rsid w:val="00537127"/>
    <w:rsid w:val="00537C19"/>
    <w:rsid w:val="00537EB7"/>
    <w:rsid w:val="00537FC3"/>
    <w:rsid w:val="00540145"/>
    <w:rsid w:val="005416AA"/>
    <w:rsid w:val="00542240"/>
    <w:rsid w:val="005423C4"/>
    <w:rsid w:val="00542464"/>
    <w:rsid w:val="005439CA"/>
    <w:rsid w:val="00544F23"/>
    <w:rsid w:val="005454B4"/>
    <w:rsid w:val="00545BF7"/>
    <w:rsid w:val="0054622A"/>
    <w:rsid w:val="0054654B"/>
    <w:rsid w:val="0054661C"/>
    <w:rsid w:val="00547536"/>
    <w:rsid w:val="00551DA8"/>
    <w:rsid w:val="005530B1"/>
    <w:rsid w:val="00553793"/>
    <w:rsid w:val="005541A8"/>
    <w:rsid w:val="00554484"/>
    <w:rsid w:val="00554A1D"/>
    <w:rsid w:val="00556A31"/>
    <w:rsid w:val="00556A43"/>
    <w:rsid w:val="00557D0A"/>
    <w:rsid w:val="00557EC5"/>
    <w:rsid w:val="00561A3A"/>
    <w:rsid w:val="00564C29"/>
    <w:rsid w:val="00565B42"/>
    <w:rsid w:val="00565E46"/>
    <w:rsid w:val="00565F59"/>
    <w:rsid w:val="00567D54"/>
    <w:rsid w:val="00570664"/>
    <w:rsid w:val="00570858"/>
    <w:rsid w:val="00571578"/>
    <w:rsid w:val="005721B3"/>
    <w:rsid w:val="005727C0"/>
    <w:rsid w:val="00572802"/>
    <w:rsid w:val="0057280D"/>
    <w:rsid w:val="005732E6"/>
    <w:rsid w:val="00573EA8"/>
    <w:rsid w:val="00575555"/>
    <w:rsid w:val="00576421"/>
    <w:rsid w:val="00577404"/>
    <w:rsid w:val="00580144"/>
    <w:rsid w:val="005806A0"/>
    <w:rsid w:val="00580C5E"/>
    <w:rsid w:val="00582449"/>
    <w:rsid w:val="005832CE"/>
    <w:rsid w:val="00585C56"/>
    <w:rsid w:val="005879A5"/>
    <w:rsid w:val="0059016F"/>
    <w:rsid w:val="005927F9"/>
    <w:rsid w:val="00594EF0"/>
    <w:rsid w:val="0059553D"/>
    <w:rsid w:val="0059742A"/>
    <w:rsid w:val="00597836"/>
    <w:rsid w:val="00597F1D"/>
    <w:rsid w:val="005A0508"/>
    <w:rsid w:val="005A1B5C"/>
    <w:rsid w:val="005A3A6C"/>
    <w:rsid w:val="005A3FED"/>
    <w:rsid w:val="005A47D1"/>
    <w:rsid w:val="005A59B0"/>
    <w:rsid w:val="005A73DC"/>
    <w:rsid w:val="005A7677"/>
    <w:rsid w:val="005B1217"/>
    <w:rsid w:val="005B1D96"/>
    <w:rsid w:val="005B2480"/>
    <w:rsid w:val="005B27C4"/>
    <w:rsid w:val="005B2D74"/>
    <w:rsid w:val="005B3B59"/>
    <w:rsid w:val="005B3F68"/>
    <w:rsid w:val="005B43CD"/>
    <w:rsid w:val="005B596A"/>
    <w:rsid w:val="005B6732"/>
    <w:rsid w:val="005B78C3"/>
    <w:rsid w:val="005C2138"/>
    <w:rsid w:val="005C264E"/>
    <w:rsid w:val="005C2861"/>
    <w:rsid w:val="005C42DF"/>
    <w:rsid w:val="005C5024"/>
    <w:rsid w:val="005C5125"/>
    <w:rsid w:val="005C53E7"/>
    <w:rsid w:val="005C724F"/>
    <w:rsid w:val="005D2B8F"/>
    <w:rsid w:val="005D321F"/>
    <w:rsid w:val="005D37A6"/>
    <w:rsid w:val="005D4C04"/>
    <w:rsid w:val="005D56F4"/>
    <w:rsid w:val="005D5D91"/>
    <w:rsid w:val="005D5F1A"/>
    <w:rsid w:val="005E1D21"/>
    <w:rsid w:val="005E2B99"/>
    <w:rsid w:val="005E5645"/>
    <w:rsid w:val="005E569E"/>
    <w:rsid w:val="005E6DD7"/>
    <w:rsid w:val="005E779F"/>
    <w:rsid w:val="005F0A75"/>
    <w:rsid w:val="005F0EE5"/>
    <w:rsid w:val="005F1865"/>
    <w:rsid w:val="005F194E"/>
    <w:rsid w:val="005F1991"/>
    <w:rsid w:val="005F4D5D"/>
    <w:rsid w:val="005F4FF0"/>
    <w:rsid w:val="005F5B5C"/>
    <w:rsid w:val="005F63C8"/>
    <w:rsid w:val="00600931"/>
    <w:rsid w:val="00601FD9"/>
    <w:rsid w:val="00603786"/>
    <w:rsid w:val="00603934"/>
    <w:rsid w:val="006039E2"/>
    <w:rsid w:val="006054BE"/>
    <w:rsid w:val="006063C8"/>
    <w:rsid w:val="006104AA"/>
    <w:rsid w:val="0061134B"/>
    <w:rsid w:val="00615F73"/>
    <w:rsid w:val="0061639E"/>
    <w:rsid w:val="00616571"/>
    <w:rsid w:val="00617863"/>
    <w:rsid w:val="00620576"/>
    <w:rsid w:val="00621A87"/>
    <w:rsid w:val="00623A03"/>
    <w:rsid w:val="00623D76"/>
    <w:rsid w:val="00624C2F"/>
    <w:rsid w:val="0062531D"/>
    <w:rsid w:val="0062588F"/>
    <w:rsid w:val="006270D5"/>
    <w:rsid w:val="006307A1"/>
    <w:rsid w:val="00630E12"/>
    <w:rsid w:val="006315EE"/>
    <w:rsid w:val="00631EBA"/>
    <w:rsid w:val="006320D3"/>
    <w:rsid w:val="00633E19"/>
    <w:rsid w:val="006350A9"/>
    <w:rsid w:val="006366DA"/>
    <w:rsid w:val="00637B62"/>
    <w:rsid w:val="00637C05"/>
    <w:rsid w:val="006403E8"/>
    <w:rsid w:val="006406E8"/>
    <w:rsid w:val="00643B31"/>
    <w:rsid w:val="00644163"/>
    <w:rsid w:val="00644ED6"/>
    <w:rsid w:val="0064549A"/>
    <w:rsid w:val="00646A4D"/>
    <w:rsid w:val="00646DE3"/>
    <w:rsid w:val="00647AD8"/>
    <w:rsid w:val="006502F5"/>
    <w:rsid w:val="006509D9"/>
    <w:rsid w:val="00650A50"/>
    <w:rsid w:val="0065147F"/>
    <w:rsid w:val="00651EB5"/>
    <w:rsid w:val="0065394A"/>
    <w:rsid w:val="0065457F"/>
    <w:rsid w:val="00654AAF"/>
    <w:rsid w:val="00654AE9"/>
    <w:rsid w:val="0065507A"/>
    <w:rsid w:val="00655CB5"/>
    <w:rsid w:val="00655EBC"/>
    <w:rsid w:val="00656B91"/>
    <w:rsid w:val="00657AEC"/>
    <w:rsid w:val="00657C9A"/>
    <w:rsid w:val="00662FD3"/>
    <w:rsid w:val="00663441"/>
    <w:rsid w:val="00663B37"/>
    <w:rsid w:val="00666B9A"/>
    <w:rsid w:val="00667271"/>
    <w:rsid w:val="00667D73"/>
    <w:rsid w:val="00670CC3"/>
    <w:rsid w:val="006710DB"/>
    <w:rsid w:val="006716C8"/>
    <w:rsid w:val="006718F0"/>
    <w:rsid w:val="00672536"/>
    <w:rsid w:val="0067278A"/>
    <w:rsid w:val="006732D0"/>
    <w:rsid w:val="00674D76"/>
    <w:rsid w:val="006755CB"/>
    <w:rsid w:val="00675751"/>
    <w:rsid w:val="0067735C"/>
    <w:rsid w:val="00680EEF"/>
    <w:rsid w:val="006819E3"/>
    <w:rsid w:val="00682FE1"/>
    <w:rsid w:val="00683273"/>
    <w:rsid w:val="006836B7"/>
    <w:rsid w:val="00683AD0"/>
    <w:rsid w:val="00683CC4"/>
    <w:rsid w:val="00684B40"/>
    <w:rsid w:val="00684CD2"/>
    <w:rsid w:val="00686417"/>
    <w:rsid w:val="006924FF"/>
    <w:rsid w:val="00692557"/>
    <w:rsid w:val="00692E68"/>
    <w:rsid w:val="0069450A"/>
    <w:rsid w:val="00694CFE"/>
    <w:rsid w:val="006968EE"/>
    <w:rsid w:val="00696985"/>
    <w:rsid w:val="00696B84"/>
    <w:rsid w:val="00696E8E"/>
    <w:rsid w:val="006A0A98"/>
    <w:rsid w:val="006A0FB9"/>
    <w:rsid w:val="006A2543"/>
    <w:rsid w:val="006A2598"/>
    <w:rsid w:val="006A2AA7"/>
    <w:rsid w:val="006A39F4"/>
    <w:rsid w:val="006A6BA2"/>
    <w:rsid w:val="006A717E"/>
    <w:rsid w:val="006B02B5"/>
    <w:rsid w:val="006B04F1"/>
    <w:rsid w:val="006B0812"/>
    <w:rsid w:val="006B0F2E"/>
    <w:rsid w:val="006B1CD0"/>
    <w:rsid w:val="006B1E94"/>
    <w:rsid w:val="006B2BAD"/>
    <w:rsid w:val="006B4A63"/>
    <w:rsid w:val="006B4B15"/>
    <w:rsid w:val="006C1D25"/>
    <w:rsid w:val="006C2437"/>
    <w:rsid w:val="006C2458"/>
    <w:rsid w:val="006D28B1"/>
    <w:rsid w:val="006D2BB3"/>
    <w:rsid w:val="006D319F"/>
    <w:rsid w:val="006D4471"/>
    <w:rsid w:val="006D4586"/>
    <w:rsid w:val="006D46B2"/>
    <w:rsid w:val="006D597D"/>
    <w:rsid w:val="006D6A3A"/>
    <w:rsid w:val="006D76D5"/>
    <w:rsid w:val="006D7E39"/>
    <w:rsid w:val="006D7E96"/>
    <w:rsid w:val="006E0D17"/>
    <w:rsid w:val="006E157F"/>
    <w:rsid w:val="006E16ED"/>
    <w:rsid w:val="006E1791"/>
    <w:rsid w:val="006E2E96"/>
    <w:rsid w:val="006E4684"/>
    <w:rsid w:val="006E4C61"/>
    <w:rsid w:val="006E533F"/>
    <w:rsid w:val="006E59DD"/>
    <w:rsid w:val="006E6F44"/>
    <w:rsid w:val="006E7BDB"/>
    <w:rsid w:val="006F0D35"/>
    <w:rsid w:val="006F1A23"/>
    <w:rsid w:val="006F28DD"/>
    <w:rsid w:val="006F36F0"/>
    <w:rsid w:val="006F4104"/>
    <w:rsid w:val="006F586A"/>
    <w:rsid w:val="006F5A7A"/>
    <w:rsid w:val="006F5E83"/>
    <w:rsid w:val="006F669A"/>
    <w:rsid w:val="006F6E85"/>
    <w:rsid w:val="006F6EE2"/>
    <w:rsid w:val="006F7ABE"/>
    <w:rsid w:val="0070028F"/>
    <w:rsid w:val="00705208"/>
    <w:rsid w:val="00705970"/>
    <w:rsid w:val="00705D85"/>
    <w:rsid w:val="00706DF3"/>
    <w:rsid w:val="007073CF"/>
    <w:rsid w:val="00710321"/>
    <w:rsid w:val="00714828"/>
    <w:rsid w:val="00714860"/>
    <w:rsid w:val="00714F54"/>
    <w:rsid w:val="007153B1"/>
    <w:rsid w:val="007165A9"/>
    <w:rsid w:val="00716A5C"/>
    <w:rsid w:val="007175E3"/>
    <w:rsid w:val="00717A4F"/>
    <w:rsid w:val="00721370"/>
    <w:rsid w:val="0072384D"/>
    <w:rsid w:val="00724BDD"/>
    <w:rsid w:val="007257ED"/>
    <w:rsid w:val="00731997"/>
    <w:rsid w:val="007320E9"/>
    <w:rsid w:val="00733465"/>
    <w:rsid w:val="00733CF5"/>
    <w:rsid w:val="0073423B"/>
    <w:rsid w:val="00734769"/>
    <w:rsid w:val="00734C50"/>
    <w:rsid w:val="00737615"/>
    <w:rsid w:val="00741A07"/>
    <w:rsid w:val="00741A28"/>
    <w:rsid w:val="00743E57"/>
    <w:rsid w:val="007455D7"/>
    <w:rsid w:val="00745BCB"/>
    <w:rsid w:val="00747139"/>
    <w:rsid w:val="0074762F"/>
    <w:rsid w:val="007500BA"/>
    <w:rsid w:val="0075121C"/>
    <w:rsid w:val="00751ABC"/>
    <w:rsid w:val="00751E97"/>
    <w:rsid w:val="00752053"/>
    <w:rsid w:val="007521B0"/>
    <w:rsid w:val="007523B0"/>
    <w:rsid w:val="007530DA"/>
    <w:rsid w:val="0075729C"/>
    <w:rsid w:val="00763484"/>
    <w:rsid w:val="0076460C"/>
    <w:rsid w:val="00764DDB"/>
    <w:rsid w:val="007654DC"/>
    <w:rsid w:val="00766CF6"/>
    <w:rsid w:val="007671F3"/>
    <w:rsid w:val="007676C2"/>
    <w:rsid w:val="0077036D"/>
    <w:rsid w:val="00770744"/>
    <w:rsid w:val="00770986"/>
    <w:rsid w:val="007713C7"/>
    <w:rsid w:val="00772001"/>
    <w:rsid w:val="00773AA4"/>
    <w:rsid w:val="00774D02"/>
    <w:rsid w:val="00775AD9"/>
    <w:rsid w:val="00777118"/>
    <w:rsid w:val="00777BEC"/>
    <w:rsid w:val="007817F3"/>
    <w:rsid w:val="00781E71"/>
    <w:rsid w:val="00782056"/>
    <w:rsid w:val="00782933"/>
    <w:rsid w:val="0078312E"/>
    <w:rsid w:val="00784A1A"/>
    <w:rsid w:val="00785AF6"/>
    <w:rsid w:val="00785F81"/>
    <w:rsid w:val="00791526"/>
    <w:rsid w:val="0079317F"/>
    <w:rsid w:val="007978D5"/>
    <w:rsid w:val="007A018F"/>
    <w:rsid w:val="007A119E"/>
    <w:rsid w:val="007A1C0C"/>
    <w:rsid w:val="007A20D8"/>
    <w:rsid w:val="007A21DA"/>
    <w:rsid w:val="007A2604"/>
    <w:rsid w:val="007A28D3"/>
    <w:rsid w:val="007A430F"/>
    <w:rsid w:val="007A4E2F"/>
    <w:rsid w:val="007A536C"/>
    <w:rsid w:val="007A60B9"/>
    <w:rsid w:val="007A68D2"/>
    <w:rsid w:val="007A6904"/>
    <w:rsid w:val="007A6F40"/>
    <w:rsid w:val="007A7006"/>
    <w:rsid w:val="007A7136"/>
    <w:rsid w:val="007B048A"/>
    <w:rsid w:val="007B1F3C"/>
    <w:rsid w:val="007B3403"/>
    <w:rsid w:val="007B3467"/>
    <w:rsid w:val="007B38F3"/>
    <w:rsid w:val="007B46F5"/>
    <w:rsid w:val="007B49A0"/>
    <w:rsid w:val="007B4F30"/>
    <w:rsid w:val="007B68C8"/>
    <w:rsid w:val="007B71EF"/>
    <w:rsid w:val="007B796F"/>
    <w:rsid w:val="007B79A9"/>
    <w:rsid w:val="007C033A"/>
    <w:rsid w:val="007C249C"/>
    <w:rsid w:val="007C358C"/>
    <w:rsid w:val="007C372D"/>
    <w:rsid w:val="007C382D"/>
    <w:rsid w:val="007C4C13"/>
    <w:rsid w:val="007C5383"/>
    <w:rsid w:val="007C5C22"/>
    <w:rsid w:val="007C5F27"/>
    <w:rsid w:val="007D09F0"/>
    <w:rsid w:val="007D1743"/>
    <w:rsid w:val="007D28A9"/>
    <w:rsid w:val="007D2C88"/>
    <w:rsid w:val="007D2CB5"/>
    <w:rsid w:val="007D3779"/>
    <w:rsid w:val="007D48A8"/>
    <w:rsid w:val="007D68FC"/>
    <w:rsid w:val="007D6CB3"/>
    <w:rsid w:val="007D7223"/>
    <w:rsid w:val="007D743D"/>
    <w:rsid w:val="007D796E"/>
    <w:rsid w:val="007D7C06"/>
    <w:rsid w:val="007E0049"/>
    <w:rsid w:val="007E06A6"/>
    <w:rsid w:val="007E0D87"/>
    <w:rsid w:val="007E2D98"/>
    <w:rsid w:val="007E5926"/>
    <w:rsid w:val="007F02BF"/>
    <w:rsid w:val="007F1C07"/>
    <w:rsid w:val="007F29CF"/>
    <w:rsid w:val="007F3393"/>
    <w:rsid w:val="007F3C5A"/>
    <w:rsid w:val="007F3EEA"/>
    <w:rsid w:val="007F5E99"/>
    <w:rsid w:val="007F7203"/>
    <w:rsid w:val="007F7A38"/>
    <w:rsid w:val="007F7BD2"/>
    <w:rsid w:val="00800F65"/>
    <w:rsid w:val="0080142D"/>
    <w:rsid w:val="00802171"/>
    <w:rsid w:val="00803697"/>
    <w:rsid w:val="008051B3"/>
    <w:rsid w:val="00805C01"/>
    <w:rsid w:val="008064E0"/>
    <w:rsid w:val="0081031F"/>
    <w:rsid w:val="0081242B"/>
    <w:rsid w:val="00812545"/>
    <w:rsid w:val="00812B79"/>
    <w:rsid w:val="00814BFF"/>
    <w:rsid w:val="00816245"/>
    <w:rsid w:val="008179DC"/>
    <w:rsid w:val="00817CA8"/>
    <w:rsid w:val="008200AD"/>
    <w:rsid w:val="00820D88"/>
    <w:rsid w:val="00820E6A"/>
    <w:rsid w:val="0082118A"/>
    <w:rsid w:val="00821814"/>
    <w:rsid w:val="00822707"/>
    <w:rsid w:val="008239FC"/>
    <w:rsid w:val="00823EBD"/>
    <w:rsid w:val="0082412A"/>
    <w:rsid w:val="00824167"/>
    <w:rsid w:val="00824488"/>
    <w:rsid w:val="0082470A"/>
    <w:rsid w:val="00824ECF"/>
    <w:rsid w:val="00825236"/>
    <w:rsid w:val="00826D1A"/>
    <w:rsid w:val="008276DF"/>
    <w:rsid w:val="00827C19"/>
    <w:rsid w:val="008300D7"/>
    <w:rsid w:val="008324C9"/>
    <w:rsid w:val="008325E6"/>
    <w:rsid w:val="00832823"/>
    <w:rsid w:val="00835047"/>
    <w:rsid w:val="00835612"/>
    <w:rsid w:val="008358E0"/>
    <w:rsid w:val="008359E9"/>
    <w:rsid w:val="008367D0"/>
    <w:rsid w:val="00836D65"/>
    <w:rsid w:val="00836E4D"/>
    <w:rsid w:val="00845589"/>
    <w:rsid w:val="00846FD2"/>
    <w:rsid w:val="00847C8F"/>
    <w:rsid w:val="008519C0"/>
    <w:rsid w:val="0085308D"/>
    <w:rsid w:val="0085355B"/>
    <w:rsid w:val="008535A0"/>
    <w:rsid w:val="008571C6"/>
    <w:rsid w:val="00857A38"/>
    <w:rsid w:val="00860947"/>
    <w:rsid w:val="00860991"/>
    <w:rsid w:val="00861A95"/>
    <w:rsid w:val="00863776"/>
    <w:rsid w:val="0086439F"/>
    <w:rsid w:val="00865864"/>
    <w:rsid w:val="00865B20"/>
    <w:rsid w:val="00866F41"/>
    <w:rsid w:val="0087074C"/>
    <w:rsid w:val="0087087F"/>
    <w:rsid w:val="00870A2C"/>
    <w:rsid w:val="00870EBB"/>
    <w:rsid w:val="00871155"/>
    <w:rsid w:val="00871B4A"/>
    <w:rsid w:val="00874153"/>
    <w:rsid w:val="008745D4"/>
    <w:rsid w:val="008757C1"/>
    <w:rsid w:val="00875B52"/>
    <w:rsid w:val="00876632"/>
    <w:rsid w:val="00876E95"/>
    <w:rsid w:val="00880065"/>
    <w:rsid w:val="00882C15"/>
    <w:rsid w:val="00883676"/>
    <w:rsid w:val="00884DC7"/>
    <w:rsid w:val="00885412"/>
    <w:rsid w:val="00885A32"/>
    <w:rsid w:val="00885E11"/>
    <w:rsid w:val="00887054"/>
    <w:rsid w:val="00887BC1"/>
    <w:rsid w:val="00887C70"/>
    <w:rsid w:val="00890D9E"/>
    <w:rsid w:val="008919D6"/>
    <w:rsid w:val="00892BAA"/>
    <w:rsid w:val="00892F51"/>
    <w:rsid w:val="008931D8"/>
    <w:rsid w:val="0089462B"/>
    <w:rsid w:val="008A2BD2"/>
    <w:rsid w:val="008A2E9E"/>
    <w:rsid w:val="008A4326"/>
    <w:rsid w:val="008A555E"/>
    <w:rsid w:val="008A605D"/>
    <w:rsid w:val="008A7BF8"/>
    <w:rsid w:val="008B01BF"/>
    <w:rsid w:val="008B0E54"/>
    <w:rsid w:val="008B1725"/>
    <w:rsid w:val="008B1D3C"/>
    <w:rsid w:val="008B2E42"/>
    <w:rsid w:val="008B4250"/>
    <w:rsid w:val="008B448A"/>
    <w:rsid w:val="008B4540"/>
    <w:rsid w:val="008B4EBA"/>
    <w:rsid w:val="008B506D"/>
    <w:rsid w:val="008B5773"/>
    <w:rsid w:val="008B5C1F"/>
    <w:rsid w:val="008B6E97"/>
    <w:rsid w:val="008C4588"/>
    <w:rsid w:val="008C69BE"/>
    <w:rsid w:val="008C75AA"/>
    <w:rsid w:val="008C7ACD"/>
    <w:rsid w:val="008C7CD5"/>
    <w:rsid w:val="008D1281"/>
    <w:rsid w:val="008D17F7"/>
    <w:rsid w:val="008D319A"/>
    <w:rsid w:val="008D47C7"/>
    <w:rsid w:val="008D493F"/>
    <w:rsid w:val="008D5391"/>
    <w:rsid w:val="008D5EC0"/>
    <w:rsid w:val="008D6945"/>
    <w:rsid w:val="008D6AF9"/>
    <w:rsid w:val="008E1C02"/>
    <w:rsid w:val="008E26A8"/>
    <w:rsid w:val="008E27BC"/>
    <w:rsid w:val="008E3981"/>
    <w:rsid w:val="008E4819"/>
    <w:rsid w:val="008E4F62"/>
    <w:rsid w:val="008E68E2"/>
    <w:rsid w:val="008E7105"/>
    <w:rsid w:val="008F2D35"/>
    <w:rsid w:val="008F42AC"/>
    <w:rsid w:val="008F5B74"/>
    <w:rsid w:val="00900341"/>
    <w:rsid w:val="00900F4B"/>
    <w:rsid w:val="00901D7D"/>
    <w:rsid w:val="00902EE7"/>
    <w:rsid w:val="009044CE"/>
    <w:rsid w:val="0090473E"/>
    <w:rsid w:val="00904F03"/>
    <w:rsid w:val="0090566A"/>
    <w:rsid w:val="00906929"/>
    <w:rsid w:val="009074E4"/>
    <w:rsid w:val="009075A5"/>
    <w:rsid w:val="00910EB4"/>
    <w:rsid w:val="00911224"/>
    <w:rsid w:val="00911A26"/>
    <w:rsid w:val="00911D4A"/>
    <w:rsid w:val="009124D2"/>
    <w:rsid w:val="00913DBD"/>
    <w:rsid w:val="0091575E"/>
    <w:rsid w:val="00915BC4"/>
    <w:rsid w:val="00915E3F"/>
    <w:rsid w:val="009171EB"/>
    <w:rsid w:val="00917985"/>
    <w:rsid w:val="00917A37"/>
    <w:rsid w:val="00920157"/>
    <w:rsid w:val="00920586"/>
    <w:rsid w:val="009209B0"/>
    <w:rsid w:val="00920A3B"/>
    <w:rsid w:val="00920C0F"/>
    <w:rsid w:val="0092112E"/>
    <w:rsid w:val="00921C7A"/>
    <w:rsid w:val="00925344"/>
    <w:rsid w:val="009259BF"/>
    <w:rsid w:val="00925D8D"/>
    <w:rsid w:val="009265A5"/>
    <w:rsid w:val="00926696"/>
    <w:rsid w:val="0093005B"/>
    <w:rsid w:val="00930A9C"/>
    <w:rsid w:val="0093134E"/>
    <w:rsid w:val="00932142"/>
    <w:rsid w:val="0093376C"/>
    <w:rsid w:val="009342FF"/>
    <w:rsid w:val="009361B3"/>
    <w:rsid w:val="00936790"/>
    <w:rsid w:val="00940C46"/>
    <w:rsid w:val="00941311"/>
    <w:rsid w:val="00941DFD"/>
    <w:rsid w:val="00943170"/>
    <w:rsid w:val="00943C1A"/>
    <w:rsid w:val="00943E0C"/>
    <w:rsid w:val="0094574D"/>
    <w:rsid w:val="009467EC"/>
    <w:rsid w:val="00947370"/>
    <w:rsid w:val="00947B59"/>
    <w:rsid w:val="00950416"/>
    <w:rsid w:val="00951812"/>
    <w:rsid w:val="00953ACB"/>
    <w:rsid w:val="009542A9"/>
    <w:rsid w:val="00954949"/>
    <w:rsid w:val="00954E20"/>
    <w:rsid w:val="00956AD2"/>
    <w:rsid w:val="00956B50"/>
    <w:rsid w:val="009571A4"/>
    <w:rsid w:val="0095768E"/>
    <w:rsid w:val="00957859"/>
    <w:rsid w:val="00957E29"/>
    <w:rsid w:val="0096190B"/>
    <w:rsid w:val="00962A37"/>
    <w:rsid w:val="00963B04"/>
    <w:rsid w:val="00966A9D"/>
    <w:rsid w:val="009670BC"/>
    <w:rsid w:val="00967121"/>
    <w:rsid w:val="00971074"/>
    <w:rsid w:val="00971A00"/>
    <w:rsid w:val="00971A78"/>
    <w:rsid w:val="00972AB1"/>
    <w:rsid w:val="00972E85"/>
    <w:rsid w:val="00972F23"/>
    <w:rsid w:val="00973A56"/>
    <w:rsid w:val="0097602C"/>
    <w:rsid w:val="009764AC"/>
    <w:rsid w:val="0098039D"/>
    <w:rsid w:val="0098074D"/>
    <w:rsid w:val="00980CDA"/>
    <w:rsid w:val="009839BA"/>
    <w:rsid w:val="00984AD5"/>
    <w:rsid w:val="00987F1B"/>
    <w:rsid w:val="009918E6"/>
    <w:rsid w:val="00994AF2"/>
    <w:rsid w:val="00996408"/>
    <w:rsid w:val="00997190"/>
    <w:rsid w:val="009A09FB"/>
    <w:rsid w:val="009A0C04"/>
    <w:rsid w:val="009A0F84"/>
    <w:rsid w:val="009A1F30"/>
    <w:rsid w:val="009A4439"/>
    <w:rsid w:val="009A44C7"/>
    <w:rsid w:val="009A657B"/>
    <w:rsid w:val="009A69BE"/>
    <w:rsid w:val="009A69FA"/>
    <w:rsid w:val="009B281E"/>
    <w:rsid w:val="009B54CE"/>
    <w:rsid w:val="009B5618"/>
    <w:rsid w:val="009B5E62"/>
    <w:rsid w:val="009B71D3"/>
    <w:rsid w:val="009C0A27"/>
    <w:rsid w:val="009C1224"/>
    <w:rsid w:val="009C2A45"/>
    <w:rsid w:val="009C4134"/>
    <w:rsid w:val="009C4830"/>
    <w:rsid w:val="009C5866"/>
    <w:rsid w:val="009C5D13"/>
    <w:rsid w:val="009D01CA"/>
    <w:rsid w:val="009D03BA"/>
    <w:rsid w:val="009D0901"/>
    <w:rsid w:val="009D2656"/>
    <w:rsid w:val="009D283C"/>
    <w:rsid w:val="009D46E3"/>
    <w:rsid w:val="009D49DC"/>
    <w:rsid w:val="009D502C"/>
    <w:rsid w:val="009D6FB6"/>
    <w:rsid w:val="009D7D14"/>
    <w:rsid w:val="009E4E7B"/>
    <w:rsid w:val="009E4F19"/>
    <w:rsid w:val="009F125E"/>
    <w:rsid w:val="009F378E"/>
    <w:rsid w:val="009F3E38"/>
    <w:rsid w:val="009F5D0A"/>
    <w:rsid w:val="009F6118"/>
    <w:rsid w:val="009F6D28"/>
    <w:rsid w:val="009F7182"/>
    <w:rsid w:val="009F77F4"/>
    <w:rsid w:val="00A0019A"/>
    <w:rsid w:val="00A009BF"/>
    <w:rsid w:val="00A020CF"/>
    <w:rsid w:val="00A02827"/>
    <w:rsid w:val="00A04345"/>
    <w:rsid w:val="00A053DF"/>
    <w:rsid w:val="00A057C5"/>
    <w:rsid w:val="00A06BA7"/>
    <w:rsid w:val="00A07202"/>
    <w:rsid w:val="00A07B93"/>
    <w:rsid w:val="00A07F60"/>
    <w:rsid w:val="00A121AF"/>
    <w:rsid w:val="00A144E0"/>
    <w:rsid w:val="00A1484A"/>
    <w:rsid w:val="00A16B0F"/>
    <w:rsid w:val="00A20ED2"/>
    <w:rsid w:val="00A21CB1"/>
    <w:rsid w:val="00A22618"/>
    <w:rsid w:val="00A24605"/>
    <w:rsid w:val="00A24AC0"/>
    <w:rsid w:val="00A257DF"/>
    <w:rsid w:val="00A26662"/>
    <w:rsid w:val="00A26C45"/>
    <w:rsid w:val="00A27E3F"/>
    <w:rsid w:val="00A30417"/>
    <w:rsid w:val="00A307AA"/>
    <w:rsid w:val="00A309CE"/>
    <w:rsid w:val="00A33AC7"/>
    <w:rsid w:val="00A35F11"/>
    <w:rsid w:val="00A35F6E"/>
    <w:rsid w:val="00A360F5"/>
    <w:rsid w:val="00A36AE0"/>
    <w:rsid w:val="00A3711A"/>
    <w:rsid w:val="00A37304"/>
    <w:rsid w:val="00A416F0"/>
    <w:rsid w:val="00A419C1"/>
    <w:rsid w:val="00A41F2F"/>
    <w:rsid w:val="00A438AC"/>
    <w:rsid w:val="00A44766"/>
    <w:rsid w:val="00A456E6"/>
    <w:rsid w:val="00A47DFE"/>
    <w:rsid w:val="00A50083"/>
    <w:rsid w:val="00A513A8"/>
    <w:rsid w:val="00A53056"/>
    <w:rsid w:val="00A54787"/>
    <w:rsid w:val="00A54A75"/>
    <w:rsid w:val="00A54D2F"/>
    <w:rsid w:val="00A6043A"/>
    <w:rsid w:val="00A606BB"/>
    <w:rsid w:val="00A637B8"/>
    <w:rsid w:val="00A63EC2"/>
    <w:rsid w:val="00A63F18"/>
    <w:rsid w:val="00A64238"/>
    <w:rsid w:val="00A64B32"/>
    <w:rsid w:val="00A65B37"/>
    <w:rsid w:val="00A667A9"/>
    <w:rsid w:val="00A70587"/>
    <w:rsid w:val="00A71013"/>
    <w:rsid w:val="00A71AA0"/>
    <w:rsid w:val="00A72195"/>
    <w:rsid w:val="00A730E1"/>
    <w:rsid w:val="00A739FD"/>
    <w:rsid w:val="00A74E66"/>
    <w:rsid w:val="00A75DD4"/>
    <w:rsid w:val="00A7684E"/>
    <w:rsid w:val="00A77B68"/>
    <w:rsid w:val="00A8175C"/>
    <w:rsid w:val="00A81772"/>
    <w:rsid w:val="00A8179E"/>
    <w:rsid w:val="00A86C2C"/>
    <w:rsid w:val="00A907BD"/>
    <w:rsid w:val="00A9275A"/>
    <w:rsid w:val="00A9296D"/>
    <w:rsid w:val="00A93108"/>
    <w:rsid w:val="00A93875"/>
    <w:rsid w:val="00A9398B"/>
    <w:rsid w:val="00A93E13"/>
    <w:rsid w:val="00A953E1"/>
    <w:rsid w:val="00A95F6D"/>
    <w:rsid w:val="00A974BC"/>
    <w:rsid w:val="00A97B90"/>
    <w:rsid w:val="00AA0A9D"/>
    <w:rsid w:val="00AA27C4"/>
    <w:rsid w:val="00AA28CA"/>
    <w:rsid w:val="00AA356F"/>
    <w:rsid w:val="00AA5C46"/>
    <w:rsid w:val="00AA770D"/>
    <w:rsid w:val="00AB07AE"/>
    <w:rsid w:val="00AB0E62"/>
    <w:rsid w:val="00AB21D0"/>
    <w:rsid w:val="00AB2552"/>
    <w:rsid w:val="00AB31DF"/>
    <w:rsid w:val="00AB3661"/>
    <w:rsid w:val="00AB3DCE"/>
    <w:rsid w:val="00AB5363"/>
    <w:rsid w:val="00AB54F6"/>
    <w:rsid w:val="00AB7EFA"/>
    <w:rsid w:val="00AC0568"/>
    <w:rsid w:val="00AC08A7"/>
    <w:rsid w:val="00AC21A0"/>
    <w:rsid w:val="00AC2A13"/>
    <w:rsid w:val="00AC4B4E"/>
    <w:rsid w:val="00AC59B9"/>
    <w:rsid w:val="00AC5E3E"/>
    <w:rsid w:val="00AC60CC"/>
    <w:rsid w:val="00AC6A95"/>
    <w:rsid w:val="00AD4D0E"/>
    <w:rsid w:val="00AD5039"/>
    <w:rsid w:val="00AD5569"/>
    <w:rsid w:val="00AD586D"/>
    <w:rsid w:val="00AD632C"/>
    <w:rsid w:val="00AD673E"/>
    <w:rsid w:val="00AD6D76"/>
    <w:rsid w:val="00AD72F7"/>
    <w:rsid w:val="00AD73EF"/>
    <w:rsid w:val="00AD79FD"/>
    <w:rsid w:val="00AD7AFA"/>
    <w:rsid w:val="00AE0ED6"/>
    <w:rsid w:val="00AE107B"/>
    <w:rsid w:val="00AE135C"/>
    <w:rsid w:val="00AE2B92"/>
    <w:rsid w:val="00AE355B"/>
    <w:rsid w:val="00AE4103"/>
    <w:rsid w:val="00AE4246"/>
    <w:rsid w:val="00AE50EC"/>
    <w:rsid w:val="00AE5762"/>
    <w:rsid w:val="00AE59AB"/>
    <w:rsid w:val="00AE5F07"/>
    <w:rsid w:val="00AE7B45"/>
    <w:rsid w:val="00AE7B4E"/>
    <w:rsid w:val="00AF1479"/>
    <w:rsid w:val="00AF1602"/>
    <w:rsid w:val="00AF2A71"/>
    <w:rsid w:val="00AF46B9"/>
    <w:rsid w:val="00AF4C2B"/>
    <w:rsid w:val="00AF4CA6"/>
    <w:rsid w:val="00AF7C94"/>
    <w:rsid w:val="00B0033B"/>
    <w:rsid w:val="00B00F21"/>
    <w:rsid w:val="00B01CA3"/>
    <w:rsid w:val="00B0245A"/>
    <w:rsid w:val="00B026EC"/>
    <w:rsid w:val="00B03390"/>
    <w:rsid w:val="00B106F4"/>
    <w:rsid w:val="00B11BDB"/>
    <w:rsid w:val="00B120CD"/>
    <w:rsid w:val="00B13780"/>
    <w:rsid w:val="00B14AD5"/>
    <w:rsid w:val="00B17D3A"/>
    <w:rsid w:val="00B205B2"/>
    <w:rsid w:val="00B207C7"/>
    <w:rsid w:val="00B2218D"/>
    <w:rsid w:val="00B2303B"/>
    <w:rsid w:val="00B23953"/>
    <w:rsid w:val="00B2406F"/>
    <w:rsid w:val="00B25284"/>
    <w:rsid w:val="00B2681B"/>
    <w:rsid w:val="00B30679"/>
    <w:rsid w:val="00B30AF8"/>
    <w:rsid w:val="00B3241D"/>
    <w:rsid w:val="00B32FAC"/>
    <w:rsid w:val="00B37331"/>
    <w:rsid w:val="00B3734E"/>
    <w:rsid w:val="00B40BAF"/>
    <w:rsid w:val="00B415A9"/>
    <w:rsid w:val="00B42A7C"/>
    <w:rsid w:val="00B440DD"/>
    <w:rsid w:val="00B45565"/>
    <w:rsid w:val="00B45D93"/>
    <w:rsid w:val="00B462D6"/>
    <w:rsid w:val="00B4645B"/>
    <w:rsid w:val="00B47548"/>
    <w:rsid w:val="00B5016D"/>
    <w:rsid w:val="00B51827"/>
    <w:rsid w:val="00B52ACB"/>
    <w:rsid w:val="00B53E22"/>
    <w:rsid w:val="00B56900"/>
    <w:rsid w:val="00B57C45"/>
    <w:rsid w:val="00B57F2F"/>
    <w:rsid w:val="00B6052F"/>
    <w:rsid w:val="00B6231C"/>
    <w:rsid w:val="00B6378C"/>
    <w:rsid w:val="00B67F13"/>
    <w:rsid w:val="00B7031E"/>
    <w:rsid w:val="00B70699"/>
    <w:rsid w:val="00B70954"/>
    <w:rsid w:val="00B716B9"/>
    <w:rsid w:val="00B71C85"/>
    <w:rsid w:val="00B72672"/>
    <w:rsid w:val="00B72C7D"/>
    <w:rsid w:val="00B73C00"/>
    <w:rsid w:val="00B74A0C"/>
    <w:rsid w:val="00B75CF6"/>
    <w:rsid w:val="00B76045"/>
    <w:rsid w:val="00B7745C"/>
    <w:rsid w:val="00B7749D"/>
    <w:rsid w:val="00B774F5"/>
    <w:rsid w:val="00B8383E"/>
    <w:rsid w:val="00B83B00"/>
    <w:rsid w:val="00B83C47"/>
    <w:rsid w:val="00B84DB8"/>
    <w:rsid w:val="00B86BD7"/>
    <w:rsid w:val="00B90100"/>
    <w:rsid w:val="00B90854"/>
    <w:rsid w:val="00B91094"/>
    <w:rsid w:val="00B91E3E"/>
    <w:rsid w:val="00B92A52"/>
    <w:rsid w:val="00B93951"/>
    <w:rsid w:val="00B93B5D"/>
    <w:rsid w:val="00B96136"/>
    <w:rsid w:val="00B96299"/>
    <w:rsid w:val="00B96801"/>
    <w:rsid w:val="00B97AA3"/>
    <w:rsid w:val="00B97EC7"/>
    <w:rsid w:val="00BA0A29"/>
    <w:rsid w:val="00BA15EA"/>
    <w:rsid w:val="00BA2919"/>
    <w:rsid w:val="00BA3614"/>
    <w:rsid w:val="00BA3842"/>
    <w:rsid w:val="00BA439C"/>
    <w:rsid w:val="00BA586E"/>
    <w:rsid w:val="00BA79C1"/>
    <w:rsid w:val="00BB09F7"/>
    <w:rsid w:val="00BB0B4C"/>
    <w:rsid w:val="00BB0C64"/>
    <w:rsid w:val="00BB11D3"/>
    <w:rsid w:val="00BB1D9C"/>
    <w:rsid w:val="00BB2071"/>
    <w:rsid w:val="00BB493E"/>
    <w:rsid w:val="00BB658B"/>
    <w:rsid w:val="00BC00F4"/>
    <w:rsid w:val="00BC01B1"/>
    <w:rsid w:val="00BC10C0"/>
    <w:rsid w:val="00BC18C5"/>
    <w:rsid w:val="00BC2094"/>
    <w:rsid w:val="00BC23DF"/>
    <w:rsid w:val="00BC2F82"/>
    <w:rsid w:val="00BC32B6"/>
    <w:rsid w:val="00BC400F"/>
    <w:rsid w:val="00BC49E4"/>
    <w:rsid w:val="00BC6619"/>
    <w:rsid w:val="00BD0305"/>
    <w:rsid w:val="00BD0F42"/>
    <w:rsid w:val="00BD1622"/>
    <w:rsid w:val="00BD1990"/>
    <w:rsid w:val="00BD1EB7"/>
    <w:rsid w:val="00BD1F41"/>
    <w:rsid w:val="00BD35B4"/>
    <w:rsid w:val="00BD3608"/>
    <w:rsid w:val="00BD4F9C"/>
    <w:rsid w:val="00BD55AE"/>
    <w:rsid w:val="00BD5670"/>
    <w:rsid w:val="00BD6928"/>
    <w:rsid w:val="00BD7E4C"/>
    <w:rsid w:val="00BE00AF"/>
    <w:rsid w:val="00BE2357"/>
    <w:rsid w:val="00BE29BB"/>
    <w:rsid w:val="00BE2C3B"/>
    <w:rsid w:val="00BE384D"/>
    <w:rsid w:val="00BE4BE3"/>
    <w:rsid w:val="00BE5AF7"/>
    <w:rsid w:val="00BE5D8A"/>
    <w:rsid w:val="00BE607D"/>
    <w:rsid w:val="00BE729F"/>
    <w:rsid w:val="00BF025C"/>
    <w:rsid w:val="00BF0BBF"/>
    <w:rsid w:val="00BF0BE6"/>
    <w:rsid w:val="00BF4E8F"/>
    <w:rsid w:val="00BF568A"/>
    <w:rsid w:val="00BF5A06"/>
    <w:rsid w:val="00BF72E1"/>
    <w:rsid w:val="00BF7ABC"/>
    <w:rsid w:val="00C003F1"/>
    <w:rsid w:val="00C009FD"/>
    <w:rsid w:val="00C00FD3"/>
    <w:rsid w:val="00C01501"/>
    <w:rsid w:val="00C01F12"/>
    <w:rsid w:val="00C02463"/>
    <w:rsid w:val="00C025CB"/>
    <w:rsid w:val="00C030D3"/>
    <w:rsid w:val="00C039BE"/>
    <w:rsid w:val="00C069C9"/>
    <w:rsid w:val="00C07CF7"/>
    <w:rsid w:val="00C103CE"/>
    <w:rsid w:val="00C11E25"/>
    <w:rsid w:val="00C11E74"/>
    <w:rsid w:val="00C12CE0"/>
    <w:rsid w:val="00C153D5"/>
    <w:rsid w:val="00C15A12"/>
    <w:rsid w:val="00C16591"/>
    <w:rsid w:val="00C17032"/>
    <w:rsid w:val="00C1720D"/>
    <w:rsid w:val="00C200D9"/>
    <w:rsid w:val="00C210A1"/>
    <w:rsid w:val="00C222D0"/>
    <w:rsid w:val="00C23393"/>
    <w:rsid w:val="00C249D1"/>
    <w:rsid w:val="00C25E72"/>
    <w:rsid w:val="00C2637F"/>
    <w:rsid w:val="00C27088"/>
    <w:rsid w:val="00C30096"/>
    <w:rsid w:val="00C30C4D"/>
    <w:rsid w:val="00C318D8"/>
    <w:rsid w:val="00C32469"/>
    <w:rsid w:val="00C32F16"/>
    <w:rsid w:val="00C33176"/>
    <w:rsid w:val="00C33349"/>
    <w:rsid w:val="00C333A7"/>
    <w:rsid w:val="00C336E4"/>
    <w:rsid w:val="00C3456D"/>
    <w:rsid w:val="00C3486E"/>
    <w:rsid w:val="00C35C46"/>
    <w:rsid w:val="00C35D99"/>
    <w:rsid w:val="00C36315"/>
    <w:rsid w:val="00C3790E"/>
    <w:rsid w:val="00C403F8"/>
    <w:rsid w:val="00C4075D"/>
    <w:rsid w:val="00C40C9E"/>
    <w:rsid w:val="00C42D8C"/>
    <w:rsid w:val="00C43C55"/>
    <w:rsid w:val="00C4419C"/>
    <w:rsid w:val="00C44B4E"/>
    <w:rsid w:val="00C45668"/>
    <w:rsid w:val="00C50F44"/>
    <w:rsid w:val="00C51B53"/>
    <w:rsid w:val="00C51E8A"/>
    <w:rsid w:val="00C5217A"/>
    <w:rsid w:val="00C530EE"/>
    <w:rsid w:val="00C53822"/>
    <w:rsid w:val="00C53859"/>
    <w:rsid w:val="00C53E22"/>
    <w:rsid w:val="00C53E42"/>
    <w:rsid w:val="00C53F8E"/>
    <w:rsid w:val="00C54F8C"/>
    <w:rsid w:val="00C56F69"/>
    <w:rsid w:val="00C655EC"/>
    <w:rsid w:val="00C65CF9"/>
    <w:rsid w:val="00C7029A"/>
    <w:rsid w:val="00C732BE"/>
    <w:rsid w:val="00C73AB6"/>
    <w:rsid w:val="00C74C16"/>
    <w:rsid w:val="00C7676A"/>
    <w:rsid w:val="00C76FDD"/>
    <w:rsid w:val="00C77EC9"/>
    <w:rsid w:val="00C77FC5"/>
    <w:rsid w:val="00C816C3"/>
    <w:rsid w:val="00C81C52"/>
    <w:rsid w:val="00C8209C"/>
    <w:rsid w:val="00C83197"/>
    <w:rsid w:val="00C8421F"/>
    <w:rsid w:val="00C8597F"/>
    <w:rsid w:val="00C86B6B"/>
    <w:rsid w:val="00C86CD4"/>
    <w:rsid w:val="00C875E0"/>
    <w:rsid w:val="00C90BF4"/>
    <w:rsid w:val="00C90D26"/>
    <w:rsid w:val="00C90F5E"/>
    <w:rsid w:val="00C93EC4"/>
    <w:rsid w:val="00C946B5"/>
    <w:rsid w:val="00C94855"/>
    <w:rsid w:val="00C94BD7"/>
    <w:rsid w:val="00C95D21"/>
    <w:rsid w:val="00C962A5"/>
    <w:rsid w:val="00C962D0"/>
    <w:rsid w:val="00C97E09"/>
    <w:rsid w:val="00CA027C"/>
    <w:rsid w:val="00CA08F4"/>
    <w:rsid w:val="00CA0A16"/>
    <w:rsid w:val="00CA0AEF"/>
    <w:rsid w:val="00CA0D48"/>
    <w:rsid w:val="00CA17CC"/>
    <w:rsid w:val="00CA31EE"/>
    <w:rsid w:val="00CA3F62"/>
    <w:rsid w:val="00CA50BA"/>
    <w:rsid w:val="00CA7477"/>
    <w:rsid w:val="00CB0AE4"/>
    <w:rsid w:val="00CB0DED"/>
    <w:rsid w:val="00CB7778"/>
    <w:rsid w:val="00CB795F"/>
    <w:rsid w:val="00CC05F9"/>
    <w:rsid w:val="00CC129A"/>
    <w:rsid w:val="00CC1540"/>
    <w:rsid w:val="00CC1BA5"/>
    <w:rsid w:val="00CC1BE7"/>
    <w:rsid w:val="00CC2FE2"/>
    <w:rsid w:val="00CC39CA"/>
    <w:rsid w:val="00CC4BFE"/>
    <w:rsid w:val="00CC4DCD"/>
    <w:rsid w:val="00CC4ED4"/>
    <w:rsid w:val="00CC563F"/>
    <w:rsid w:val="00CC648D"/>
    <w:rsid w:val="00CD1848"/>
    <w:rsid w:val="00CD2A88"/>
    <w:rsid w:val="00CD3E61"/>
    <w:rsid w:val="00CD41D9"/>
    <w:rsid w:val="00CD4474"/>
    <w:rsid w:val="00CD53CB"/>
    <w:rsid w:val="00CD7389"/>
    <w:rsid w:val="00CD7CB5"/>
    <w:rsid w:val="00CE0835"/>
    <w:rsid w:val="00CE11A4"/>
    <w:rsid w:val="00CE1B1B"/>
    <w:rsid w:val="00CE56CF"/>
    <w:rsid w:val="00CE59CC"/>
    <w:rsid w:val="00CE6689"/>
    <w:rsid w:val="00CE6A21"/>
    <w:rsid w:val="00CE6C23"/>
    <w:rsid w:val="00CF0590"/>
    <w:rsid w:val="00CF1C5A"/>
    <w:rsid w:val="00CF31E1"/>
    <w:rsid w:val="00CF58F0"/>
    <w:rsid w:val="00CF6F7A"/>
    <w:rsid w:val="00CF719C"/>
    <w:rsid w:val="00CF7BCD"/>
    <w:rsid w:val="00D01ECD"/>
    <w:rsid w:val="00D029B8"/>
    <w:rsid w:val="00D02CE6"/>
    <w:rsid w:val="00D03513"/>
    <w:rsid w:val="00D035FC"/>
    <w:rsid w:val="00D03FF3"/>
    <w:rsid w:val="00D07B60"/>
    <w:rsid w:val="00D07C6F"/>
    <w:rsid w:val="00D07D60"/>
    <w:rsid w:val="00D11DFD"/>
    <w:rsid w:val="00D13CDD"/>
    <w:rsid w:val="00D14338"/>
    <w:rsid w:val="00D15447"/>
    <w:rsid w:val="00D15E07"/>
    <w:rsid w:val="00D1670C"/>
    <w:rsid w:val="00D17C78"/>
    <w:rsid w:val="00D17FB9"/>
    <w:rsid w:val="00D2081A"/>
    <w:rsid w:val="00D22131"/>
    <w:rsid w:val="00D221D4"/>
    <w:rsid w:val="00D224BC"/>
    <w:rsid w:val="00D23463"/>
    <w:rsid w:val="00D251D5"/>
    <w:rsid w:val="00D25272"/>
    <w:rsid w:val="00D26127"/>
    <w:rsid w:val="00D27293"/>
    <w:rsid w:val="00D279A3"/>
    <w:rsid w:val="00D30545"/>
    <w:rsid w:val="00D31820"/>
    <w:rsid w:val="00D3269A"/>
    <w:rsid w:val="00D33B6B"/>
    <w:rsid w:val="00D33BF8"/>
    <w:rsid w:val="00D34028"/>
    <w:rsid w:val="00D34276"/>
    <w:rsid w:val="00D3471C"/>
    <w:rsid w:val="00D3548E"/>
    <w:rsid w:val="00D35560"/>
    <w:rsid w:val="00D355C6"/>
    <w:rsid w:val="00D358A4"/>
    <w:rsid w:val="00D36108"/>
    <w:rsid w:val="00D373F4"/>
    <w:rsid w:val="00D40BB1"/>
    <w:rsid w:val="00D42DDE"/>
    <w:rsid w:val="00D42FD0"/>
    <w:rsid w:val="00D430A7"/>
    <w:rsid w:val="00D431CC"/>
    <w:rsid w:val="00D434BF"/>
    <w:rsid w:val="00D43EA8"/>
    <w:rsid w:val="00D43F72"/>
    <w:rsid w:val="00D44B17"/>
    <w:rsid w:val="00D45D6C"/>
    <w:rsid w:val="00D4722E"/>
    <w:rsid w:val="00D504AD"/>
    <w:rsid w:val="00D505C6"/>
    <w:rsid w:val="00D50D33"/>
    <w:rsid w:val="00D50E62"/>
    <w:rsid w:val="00D52929"/>
    <w:rsid w:val="00D537B5"/>
    <w:rsid w:val="00D54065"/>
    <w:rsid w:val="00D54F08"/>
    <w:rsid w:val="00D55579"/>
    <w:rsid w:val="00D56036"/>
    <w:rsid w:val="00D56849"/>
    <w:rsid w:val="00D5694F"/>
    <w:rsid w:val="00D57EE2"/>
    <w:rsid w:val="00D6046B"/>
    <w:rsid w:val="00D604D3"/>
    <w:rsid w:val="00D61495"/>
    <w:rsid w:val="00D6329D"/>
    <w:rsid w:val="00D64D0D"/>
    <w:rsid w:val="00D65D61"/>
    <w:rsid w:val="00D66A06"/>
    <w:rsid w:val="00D66DCA"/>
    <w:rsid w:val="00D67B12"/>
    <w:rsid w:val="00D705E8"/>
    <w:rsid w:val="00D71116"/>
    <w:rsid w:val="00D72698"/>
    <w:rsid w:val="00D73BE2"/>
    <w:rsid w:val="00D74B8B"/>
    <w:rsid w:val="00D74F82"/>
    <w:rsid w:val="00D76084"/>
    <w:rsid w:val="00D76C6A"/>
    <w:rsid w:val="00D8058B"/>
    <w:rsid w:val="00D814AA"/>
    <w:rsid w:val="00D818CC"/>
    <w:rsid w:val="00D8190E"/>
    <w:rsid w:val="00D826FB"/>
    <w:rsid w:val="00D83DD5"/>
    <w:rsid w:val="00D85551"/>
    <w:rsid w:val="00D8560F"/>
    <w:rsid w:val="00D859CD"/>
    <w:rsid w:val="00D862DB"/>
    <w:rsid w:val="00D90B53"/>
    <w:rsid w:val="00D939FF"/>
    <w:rsid w:val="00D9424C"/>
    <w:rsid w:val="00D958AD"/>
    <w:rsid w:val="00D960EA"/>
    <w:rsid w:val="00D96D35"/>
    <w:rsid w:val="00D975E9"/>
    <w:rsid w:val="00D97A97"/>
    <w:rsid w:val="00DA3BE5"/>
    <w:rsid w:val="00DA4DA2"/>
    <w:rsid w:val="00DB06B7"/>
    <w:rsid w:val="00DB0F67"/>
    <w:rsid w:val="00DB1386"/>
    <w:rsid w:val="00DB150A"/>
    <w:rsid w:val="00DB1E64"/>
    <w:rsid w:val="00DB434F"/>
    <w:rsid w:val="00DB52CF"/>
    <w:rsid w:val="00DB65CC"/>
    <w:rsid w:val="00DB6DFD"/>
    <w:rsid w:val="00DC0AD2"/>
    <w:rsid w:val="00DC1C18"/>
    <w:rsid w:val="00DC1C84"/>
    <w:rsid w:val="00DC2541"/>
    <w:rsid w:val="00DC26CF"/>
    <w:rsid w:val="00DC510D"/>
    <w:rsid w:val="00DC64F8"/>
    <w:rsid w:val="00DD2305"/>
    <w:rsid w:val="00DD324F"/>
    <w:rsid w:val="00DD33C3"/>
    <w:rsid w:val="00DD3A9A"/>
    <w:rsid w:val="00DD3DD9"/>
    <w:rsid w:val="00DD4A2F"/>
    <w:rsid w:val="00DD553F"/>
    <w:rsid w:val="00DD558E"/>
    <w:rsid w:val="00DD6384"/>
    <w:rsid w:val="00DD7C89"/>
    <w:rsid w:val="00DD7F98"/>
    <w:rsid w:val="00DE0689"/>
    <w:rsid w:val="00DE082B"/>
    <w:rsid w:val="00DE2D8F"/>
    <w:rsid w:val="00DE55AD"/>
    <w:rsid w:val="00DE55DD"/>
    <w:rsid w:val="00DE57D9"/>
    <w:rsid w:val="00DE5C9E"/>
    <w:rsid w:val="00DE61C4"/>
    <w:rsid w:val="00DF16DB"/>
    <w:rsid w:val="00DF210D"/>
    <w:rsid w:val="00DF35F5"/>
    <w:rsid w:val="00DF4A3D"/>
    <w:rsid w:val="00DF5A3C"/>
    <w:rsid w:val="00DF6BEC"/>
    <w:rsid w:val="00DF72FD"/>
    <w:rsid w:val="00DF795B"/>
    <w:rsid w:val="00E00F13"/>
    <w:rsid w:val="00E020AA"/>
    <w:rsid w:val="00E021FB"/>
    <w:rsid w:val="00E024A1"/>
    <w:rsid w:val="00E05F64"/>
    <w:rsid w:val="00E06B6D"/>
    <w:rsid w:val="00E1054C"/>
    <w:rsid w:val="00E110E3"/>
    <w:rsid w:val="00E1139D"/>
    <w:rsid w:val="00E11B9E"/>
    <w:rsid w:val="00E11DBD"/>
    <w:rsid w:val="00E12AFE"/>
    <w:rsid w:val="00E139D9"/>
    <w:rsid w:val="00E13A5A"/>
    <w:rsid w:val="00E14506"/>
    <w:rsid w:val="00E15813"/>
    <w:rsid w:val="00E16677"/>
    <w:rsid w:val="00E16FE4"/>
    <w:rsid w:val="00E173E1"/>
    <w:rsid w:val="00E21BCB"/>
    <w:rsid w:val="00E21FC4"/>
    <w:rsid w:val="00E2233A"/>
    <w:rsid w:val="00E23B2A"/>
    <w:rsid w:val="00E24E47"/>
    <w:rsid w:val="00E25017"/>
    <w:rsid w:val="00E26D53"/>
    <w:rsid w:val="00E306B5"/>
    <w:rsid w:val="00E3177F"/>
    <w:rsid w:val="00E31910"/>
    <w:rsid w:val="00E3259C"/>
    <w:rsid w:val="00E3599C"/>
    <w:rsid w:val="00E366A0"/>
    <w:rsid w:val="00E36F9E"/>
    <w:rsid w:val="00E400EF"/>
    <w:rsid w:val="00E402AE"/>
    <w:rsid w:val="00E41126"/>
    <w:rsid w:val="00E44BEB"/>
    <w:rsid w:val="00E44F53"/>
    <w:rsid w:val="00E453C4"/>
    <w:rsid w:val="00E45B75"/>
    <w:rsid w:val="00E45BC2"/>
    <w:rsid w:val="00E467C9"/>
    <w:rsid w:val="00E47ED2"/>
    <w:rsid w:val="00E508FB"/>
    <w:rsid w:val="00E51959"/>
    <w:rsid w:val="00E52209"/>
    <w:rsid w:val="00E5259D"/>
    <w:rsid w:val="00E526F1"/>
    <w:rsid w:val="00E54D65"/>
    <w:rsid w:val="00E5596D"/>
    <w:rsid w:val="00E56DAB"/>
    <w:rsid w:val="00E5747F"/>
    <w:rsid w:val="00E57CD5"/>
    <w:rsid w:val="00E60B3A"/>
    <w:rsid w:val="00E64242"/>
    <w:rsid w:val="00E64A0C"/>
    <w:rsid w:val="00E65B65"/>
    <w:rsid w:val="00E67755"/>
    <w:rsid w:val="00E67E89"/>
    <w:rsid w:val="00E70A12"/>
    <w:rsid w:val="00E70EA1"/>
    <w:rsid w:val="00E70FE4"/>
    <w:rsid w:val="00E71D61"/>
    <w:rsid w:val="00E725F2"/>
    <w:rsid w:val="00E77F45"/>
    <w:rsid w:val="00E81E73"/>
    <w:rsid w:val="00E83822"/>
    <w:rsid w:val="00E8758E"/>
    <w:rsid w:val="00E87EF5"/>
    <w:rsid w:val="00E92180"/>
    <w:rsid w:val="00E9388F"/>
    <w:rsid w:val="00E93B25"/>
    <w:rsid w:val="00E95992"/>
    <w:rsid w:val="00E97E32"/>
    <w:rsid w:val="00EA011C"/>
    <w:rsid w:val="00EA0193"/>
    <w:rsid w:val="00EA0E82"/>
    <w:rsid w:val="00EA2129"/>
    <w:rsid w:val="00EA2E1D"/>
    <w:rsid w:val="00EA45E1"/>
    <w:rsid w:val="00EA4E64"/>
    <w:rsid w:val="00EA5082"/>
    <w:rsid w:val="00EB3E46"/>
    <w:rsid w:val="00EB4E62"/>
    <w:rsid w:val="00EB6C40"/>
    <w:rsid w:val="00EB7250"/>
    <w:rsid w:val="00EC085D"/>
    <w:rsid w:val="00EC1CB6"/>
    <w:rsid w:val="00EC3086"/>
    <w:rsid w:val="00EC3B14"/>
    <w:rsid w:val="00EC3C3D"/>
    <w:rsid w:val="00EC3E12"/>
    <w:rsid w:val="00EC61E0"/>
    <w:rsid w:val="00EC7B7B"/>
    <w:rsid w:val="00EC7D25"/>
    <w:rsid w:val="00ED0AFF"/>
    <w:rsid w:val="00ED2192"/>
    <w:rsid w:val="00ED3FAC"/>
    <w:rsid w:val="00ED4837"/>
    <w:rsid w:val="00ED4CC7"/>
    <w:rsid w:val="00ED6250"/>
    <w:rsid w:val="00ED7338"/>
    <w:rsid w:val="00EE0622"/>
    <w:rsid w:val="00EE0D95"/>
    <w:rsid w:val="00EE12F0"/>
    <w:rsid w:val="00EE1929"/>
    <w:rsid w:val="00EE35EF"/>
    <w:rsid w:val="00EE4121"/>
    <w:rsid w:val="00EE4951"/>
    <w:rsid w:val="00EE51A2"/>
    <w:rsid w:val="00EE6F89"/>
    <w:rsid w:val="00EE7B0D"/>
    <w:rsid w:val="00EF0DE2"/>
    <w:rsid w:val="00EF458F"/>
    <w:rsid w:val="00EF5F7C"/>
    <w:rsid w:val="00EF6233"/>
    <w:rsid w:val="00EF6BFE"/>
    <w:rsid w:val="00F01007"/>
    <w:rsid w:val="00F027F6"/>
    <w:rsid w:val="00F02856"/>
    <w:rsid w:val="00F02F35"/>
    <w:rsid w:val="00F031B7"/>
    <w:rsid w:val="00F035B0"/>
    <w:rsid w:val="00F035E4"/>
    <w:rsid w:val="00F05101"/>
    <w:rsid w:val="00F05160"/>
    <w:rsid w:val="00F06A8D"/>
    <w:rsid w:val="00F06EF5"/>
    <w:rsid w:val="00F072B6"/>
    <w:rsid w:val="00F07AE0"/>
    <w:rsid w:val="00F07EA6"/>
    <w:rsid w:val="00F1025C"/>
    <w:rsid w:val="00F10719"/>
    <w:rsid w:val="00F109DA"/>
    <w:rsid w:val="00F13BC7"/>
    <w:rsid w:val="00F1472D"/>
    <w:rsid w:val="00F150BF"/>
    <w:rsid w:val="00F1620D"/>
    <w:rsid w:val="00F16BC6"/>
    <w:rsid w:val="00F20305"/>
    <w:rsid w:val="00F2098D"/>
    <w:rsid w:val="00F20DB5"/>
    <w:rsid w:val="00F222E4"/>
    <w:rsid w:val="00F22E27"/>
    <w:rsid w:val="00F22E3A"/>
    <w:rsid w:val="00F252AA"/>
    <w:rsid w:val="00F257CB"/>
    <w:rsid w:val="00F26F0E"/>
    <w:rsid w:val="00F271C5"/>
    <w:rsid w:val="00F30049"/>
    <w:rsid w:val="00F31707"/>
    <w:rsid w:val="00F36635"/>
    <w:rsid w:val="00F36D2F"/>
    <w:rsid w:val="00F3729D"/>
    <w:rsid w:val="00F37681"/>
    <w:rsid w:val="00F37736"/>
    <w:rsid w:val="00F40549"/>
    <w:rsid w:val="00F41007"/>
    <w:rsid w:val="00F4101A"/>
    <w:rsid w:val="00F41D02"/>
    <w:rsid w:val="00F42500"/>
    <w:rsid w:val="00F426C4"/>
    <w:rsid w:val="00F428D5"/>
    <w:rsid w:val="00F44230"/>
    <w:rsid w:val="00F44F1D"/>
    <w:rsid w:val="00F4542A"/>
    <w:rsid w:val="00F45A4D"/>
    <w:rsid w:val="00F4668C"/>
    <w:rsid w:val="00F4696F"/>
    <w:rsid w:val="00F478CA"/>
    <w:rsid w:val="00F504CF"/>
    <w:rsid w:val="00F5073E"/>
    <w:rsid w:val="00F51D9D"/>
    <w:rsid w:val="00F533CC"/>
    <w:rsid w:val="00F54437"/>
    <w:rsid w:val="00F5699C"/>
    <w:rsid w:val="00F56E8A"/>
    <w:rsid w:val="00F6079D"/>
    <w:rsid w:val="00F60F18"/>
    <w:rsid w:val="00F61B34"/>
    <w:rsid w:val="00F62AC2"/>
    <w:rsid w:val="00F632EC"/>
    <w:rsid w:val="00F63F18"/>
    <w:rsid w:val="00F65DA1"/>
    <w:rsid w:val="00F6628C"/>
    <w:rsid w:val="00F717AD"/>
    <w:rsid w:val="00F72EC7"/>
    <w:rsid w:val="00F750CE"/>
    <w:rsid w:val="00F7596E"/>
    <w:rsid w:val="00F75C13"/>
    <w:rsid w:val="00F75C35"/>
    <w:rsid w:val="00F77791"/>
    <w:rsid w:val="00F77F7E"/>
    <w:rsid w:val="00F81D7C"/>
    <w:rsid w:val="00F86239"/>
    <w:rsid w:val="00F8631C"/>
    <w:rsid w:val="00F91319"/>
    <w:rsid w:val="00F91717"/>
    <w:rsid w:val="00F91D9E"/>
    <w:rsid w:val="00F92B27"/>
    <w:rsid w:val="00F92CEB"/>
    <w:rsid w:val="00F93ABE"/>
    <w:rsid w:val="00F93F12"/>
    <w:rsid w:val="00F94352"/>
    <w:rsid w:val="00F9435E"/>
    <w:rsid w:val="00F94C46"/>
    <w:rsid w:val="00F954A2"/>
    <w:rsid w:val="00F9662D"/>
    <w:rsid w:val="00F968A1"/>
    <w:rsid w:val="00F97171"/>
    <w:rsid w:val="00F975E0"/>
    <w:rsid w:val="00F97CB6"/>
    <w:rsid w:val="00FA0BF3"/>
    <w:rsid w:val="00FA1C5E"/>
    <w:rsid w:val="00FA2B89"/>
    <w:rsid w:val="00FA35BF"/>
    <w:rsid w:val="00FA39C2"/>
    <w:rsid w:val="00FA4501"/>
    <w:rsid w:val="00FA4552"/>
    <w:rsid w:val="00FA53D7"/>
    <w:rsid w:val="00FA69EB"/>
    <w:rsid w:val="00FA77BD"/>
    <w:rsid w:val="00FB12FB"/>
    <w:rsid w:val="00FB1E8F"/>
    <w:rsid w:val="00FB2562"/>
    <w:rsid w:val="00FB2CCA"/>
    <w:rsid w:val="00FB5E09"/>
    <w:rsid w:val="00FC0CBE"/>
    <w:rsid w:val="00FC310F"/>
    <w:rsid w:val="00FC365B"/>
    <w:rsid w:val="00FC51F3"/>
    <w:rsid w:val="00FC59F9"/>
    <w:rsid w:val="00FC7512"/>
    <w:rsid w:val="00FD05D4"/>
    <w:rsid w:val="00FD06C4"/>
    <w:rsid w:val="00FD094C"/>
    <w:rsid w:val="00FD402C"/>
    <w:rsid w:val="00FD56D2"/>
    <w:rsid w:val="00FD64C1"/>
    <w:rsid w:val="00FD7100"/>
    <w:rsid w:val="00FD7171"/>
    <w:rsid w:val="00FD7B14"/>
    <w:rsid w:val="00FE0DF1"/>
    <w:rsid w:val="00FE144C"/>
    <w:rsid w:val="00FE1522"/>
    <w:rsid w:val="00FE2A4C"/>
    <w:rsid w:val="00FE3A5C"/>
    <w:rsid w:val="00FE4548"/>
    <w:rsid w:val="00FE4CB3"/>
    <w:rsid w:val="00FE57FE"/>
    <w:rsid w:val="00FE67FC"/>
    <w:rsid w:val="00FE6F5C"/>
    <w:rsid w:val="00FE6FCA"/>
    <w:rsid w:val="00FE7190"/>
    <w:rsid w:val="00FE7BBB"/>
    <w:rsid w:val="00FF1F5C"/>
    <w:rsid w:val="00FF3055"/>
    <w:rsid w:val="00FF3F1D"/>
    <w:rsid w:val="00FF3FB1"/>
    <w:rsid w:val="00FF5835"/>
    <w:rsid w:val="00FF6A9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AA962A-8120-4FA1-AD59-17F2F4460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43AD"/>
    <w:pPr>
      <w:spacing w:after="200" w:line="276" w:lineRule="auto"/>
    </w:pPr>
  </w:style>
  <w:style w:type="paragraph" w:styleId="Heading1">
    <w:name w:val="heading 1"/>
    <w:basedOn w:val="Normal"/>
    <w:next w:val="Normal"/>
    <w:link w:val="Heading1Char"/>
    <w:uiPriority w:val="9"/>
    <w:qFormat/>
    <w:rsid w:val="003474B9"/>
    <w:pPr>
      <w:pBdr>
        <w:bottom w:val="single" w:sz="12" w:space="1" w:color="F1BD82"/>
      </w:pBdr>
      <w:spacing w:before="240"/>
      <w:outlineLvl w:val="0"/>
    </w:pPr>
    <w:rPr>
      <w:rFonts w:ascii="Century Gothic" w:hAnsi="Century Gothic"/>
      <w:b/>
      <w:color w:val="171859"/>
      <w:sz w:val="28"/>
    </w:rPr>
  </w:style>
  <w:style w:type="paragraph" w:styleId="Heading2">
    <w:name w:val="heading 2"/>
    <w:basedOn w:val="Normal"/>
    <w:next w:val="Normal"/>
    <w:link w:val="Heading2Char"/>
    <w:uiPriority w:val="9"/>
    <w:unhideWhenUsed/>
    <w:qFormat/>
    <w:rsid w:val="00421958"/>
    <w:pPr>
      <w:spacing w:before="240"/>
      <w:ind w:left="720" w:hanging="720"/>
      <w:outlineLvl w:val="1"/>
    </w:pPr>
    <w:rPr>
      <w:rFonts w:ascii="Century Gothic" w:eastAsiaTheme="majorEastAsia" w:hAnsi="Century Gothic" w:cstheme="majorBidi"/>
      <w:b/>
      <w:color w:val="152B85"/>
      <w:sz w:val="26"/>
      <w:szCs w:val="26"/>
    </w:rPr>
  </w:style>
  <w:style w:type="paragraph" w:styleId="Heading3">
    <w:name w:val="heading 3"/>
    <w:basedOn w:val="Normal"/>
    <w:next w:val="Normal"/>
    <w:link w:val="Heading3Char"/>
    <w:uiPriority w:val="9"/>
    <w:unhideWhenUsed/>
    <w:qFormat/>
    <w:rsid w:val="00421958"/>
    <w:pPr>
      <w:keepNext/>
      <w:keepLines/>
      <w:spacing w:before="40" w:after="0"/>
      <w:outlineLvl w:val="2"/>
    </w:pPr>
    <w:rPr>
      <w:rFonts w:ascii="Century Gothic" w:eastAsiaTheme="majorEastAsia" w:hAnsi="Century Gothic" w:cstheme="minorHAnsi"/>
      <w:color w:val="EE4A27"/>
    </w:rPr>
  </w:style>
  <w:style w:type="paragraph" w:styleId="Heading4">
    <w:name w:val="heading 4"/>
    <w:basedOn w:val="Normal"/>
    <w:next w:val="Normal"/>
    <w:link w:val="Heading4Char"/>
    <w:uiPriority w:val="9"/>
    <w:unhideWhenUsed/>
    <w:qFormat/>
    <w:rsid w:val="004622C6"/>
    <w:pPr>
      <w:keepNext/>
      <w:keepLines/>
      <w:spacing w:before="40" w:after="0"/>
      <w:outlineLvl w:val="3"/>
    </w:pPr>
    <w:rPr>
      <w:rFonts w:asciiTheme="majorHAnsi" w:eastAsiaTheme="majorEastAsia" w:hAnsiTheme="majorHAnsi" w:cstheme="majorBidi"/>
      <w:i/>
      <w:iCs/>
      <w:color w:val="658EA3"/>
    </w:rPr>
  </w:style>
  <w:style w:type="paragraph" w:styleId="Heading5">
    <w:name w:val="heading 5"/>
    <w:basedOn w:val="Normal"/>
    <w:next w:val="Normal"/>
    <w:link w:val="Heading5Char"/>
    <w:uiPriority w:val="9"/>
    <w:unhideWhenUsed/>
    <w:qFormat/>
    <w:rsid w:val="00751E97"/>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CV text Char,Dot pt Char,F5 List Paragraph Char,FooterText Char,L Char,List Paragraph1 Char,List Paragraph11 Char,List Paragraph111 Char,List Paragraph2 Char,Medium Grid 1 - Accent 21 Char,NFP GP Bulleted List Char,Table text Char"/>
    <w:basedOn w:val="DefaultParagraphFont"/>
    <w:link w:val="ListParagraph"/>
    <w:uiPriority w:val="34"/>
    <w:qFormat/>
    <w:locked/>
    <w:rsid w:val="001A43AD"/>
  </w:style>
  <w:style w:type="paragraph" w:styleId="ListParagraph">
    <w:name w:val="List Paragraph"/>
    <w:aliases w:val="CV text,Dot pt,F5 List Paragraph,FooterText,L,List Paragraph1,List Paragraph11,List Paragraph111,List Paragraph2,Medium Grid 1 - Accent 21,NFP GP Bulleted List,Paragraphe de liste1,Recommendation,Table text,numbered,列出段,TOC style,lp1,列出段落"/>
    <w:basedOn w:val="Normal"/>
    <w:link w:val="ListParagraphChar"/>
    <w:uiPriority w:val="34"/>
    <w:qFormat/>
    <w:rsid w:val="001A43AD"/>
    <w:pPr>
      <w:spacing w:after="160" w:line="256" w:lineRule="auto"/>
      <w:ind w:left="720"/>
      <w:contextualSpacing/>
    </w:pPr>
  </w:style>
  <w:style w:type="paragraph" w:customStyle="1" w:styleId="Default">
    <w:name w:val="Default"/>
    <w:rsid w:val="001A43AD"/>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39"/>
    <w:rsid w:val="001A43A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26D1A"/>
    <w:rPr>
      <w:sz w:val="16"/>
      <w:szCs w:val="16"/>
    </w:rPr>
  </w:style>
  <w:style w:type="paragraph" w:styleId="CommentText">
    <w:name w:val="annotation text"/>
    <w:basedOn w:val="Normal"/>
    <w:link w:val="CommentTextChar"/>
    <w:uiPriority w:val="99"/>
    <w:unhideWhenUsed/>
    <w:rsid w:val="00826D1A"/>
    <w:pPr>
      <w:spacing w:line="240" w:lineRule="auto"/>
    </w:pPr>
    <w:rPr>
      <w:sz w:val="20"/>
      <w:szCs w:val="20"/>
    </w:rPr>
  </w:style>
  <w:style w:type="character" w:customStyle="1" w:styleId="CommentTextChar">
    <w:name w:val="Comment Text Char"/>
    <w:basedOn w:val="DefaultParagraphFont"/>
    <w:link w:val="CommentText"/>
    <w:uiPriority w:val="99"/>
    <w:rsid w:val="00826D1A"/>
    <w:rPr>
      <w:sz w:val="20"/>
      <w:szCs w:val="20"/>
    </w:rPr>
  </w:style>
  <w:style w:type="paragraph" w:styleId="CommentSubject">
    <w:name w:val="annotation subject"/>
    <w:basedOn w:val="CommentText"/>
    <w:next w:val="CommentText"/>
    <w:link w:val="CommentSubjectChar"/>
    <w:uiPriority w:val="99"/>
    <w:semiHidden/>
    <w:unhideWhenUsed/>
    <w:rsid w:val="00826D1A"/>
    <w:rPr>
      <w:b/>
      <w:bCs/>
    </w:rPr>
  </w:style>
  <w:style w:type="character" w:customStyle="1" w:styleId="CommentSubjectChar">
    <w:name w:val="Comment Subject Char"/>
    <w:basedOn w:val="CommentTextChar"/>
    <w:link w:val="CommentSubject"/>
    <w:uiPriority w:val="99"/>
    <w:semiHidden/>
    <w:rsid w:val="00826D1A"/>
    <w:rPr>
      <w:b/>
      <w:bCs/>
      <w:sz w:val="20"/>
      <w:szCs w:val="20"/>
    </w:rPr>
  </w:style>
  <w:style w:type="paragraph" w:styleId="BalloonText">
    <w:name w:val="Balloon Text"/>
    <w:basedOn w:val="Normal"/>
    <w:link w:val="BalloonTextChar"/>
    <w:uiPriority w:val="99"/>
    <w:semiHidden/>
    <w:unhideWhenUsed/>
    <w:rsid w:val="00826D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6D1A"/>
    <w:rPr>
      <w:rFonts w:ascii="Segoe UI" w:hAnsi="Segoe UI" w:cs="Segoe UI"/>
      <w:sz w:val="18"/>
      <w:szCs w:val="18"/>
    </w:rPr>
  </w:style>
  <w:style w:type="character" w:customStyle="1" w:styleId="Heading1Char">
    <w:name w:val="Heading 1 Char"/>
    <w:basedOn w:val="DefaultParagraphFont"/>
    <w:link w:val="Heading1"/>
    <w:uiPriority w:val="9"/>
    <w:rsid w:val="003474B9"/>
    <w:rPr>
      <w:rFonts w:ascii="Century Gothic" w:hAnsi="Century Gothic"/>
      <w:b/>
      <w:color w:val="171859"/>
      <w:sz w:val="28"/>
    </w:rPr>
  </w:style>
  <w:style w:type="character" w:customStyle="1" w:styleId="Heading2Char">
    <w:name w:val="Heading 2 Char"/>
    <w:basedOn w:val="DefaultParagraphFont"/>
    <w:link w:val="Heading2"/>
    <w:uiPriority w:val="9"/>
    <w:rsid w:val="00421958"/>
    <w:rPr>
      <w:rFonts w:ascii="Century Gothic" w:eastAsiaTheme="majorEastAsia" w:hAnsi="Century Gothic" w:cstheme="majorBidi"/>
      <w:b/>
      <w:color w:val="152B85"/>
      <w:sz w:val="26"/>
      <w:szCs w:val="26"/>
    </w:rPr>
  </w:style>
  <w:style w:type="character" w:customStyle="1" w:styleId="Heading4Char">
    <w:name w:val="Heading 4 Char"/>
    <w:basedOn w:val="DefaultParagraphFont"/>
    <w:link w:val="Heading4"/>
    <w:uiPriority w:val="9"/>
    <w:rsid w:val="004622C6"/>
    <w:rPr>
      <w:rFonts w:asciiTheme="majorHAnsi" w:eastAsiaTheme="majorEastAsia" w:hAnsiTheme="majorHAnsi" w:cstheme="majorBidi"/>
      <w:i/>
      <w:iCs/>
      <w:color w:val="658EA3"/>
    </w:rPr>
  </w:style>
  <w:style w:type="character" w:styleId="Hyperlink">
    <w:name w:val="Hyperlink"/>
    <w:basedOn w:val="DefaultParagraphFont"/>
    <w:uiPriority w:val="99"/>
    <w:unhideWhenUsed/>
    <w:rsid w:val="00DF6BEC"/>
    <w:rPr>
      <w:color w:val="0563C1" w:themeColor="hyperlink"/>
      <w:u w:val="single"/>
    </w:rPr>
  </w:style>
  <w:style w:type="paragraph" w:styleId="TOCHeading">
    <w:name w:val="TOC Heading"/>
    <w:basedOn w:val="Heading1"/>
    <w:next w:val="Normal"/>
    <w:uiPriority w:val="39"/>
    <w:unhideWhenUsed/>
    <w:qFormat/>
    <w:rsid w:val="002B3D22"/>
    <w:pPr>
      <w:keepNext/>
      <w:keepLines/>
      <w:pBdr>
        <w:bottom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styleId="TOC1">
    <w:name w:val="toc 1"/>
    <w:basedOn w:val="Normal"/>
    <w:next w:val="Normal"/>
    <w:autoRedefine/>
    <w:uiPriority w:val="39"/>
    <w:unhideWhenUsed/>
    <w:rsid w:val="002B3D22"/>
    <w:pPr>
      <w:spacing w:after="100"/>
    </w:pPr>
  </w:style>
  <w:style w:type="paragraph" w:styleId="TOC2">
    <w:name w:val="toc 2"/>
    <w:basedOn w:val="Normal"/>
    <w:next w:val="Normal"/>
    <w:autoRedefine/>
    <w:uiPriority w:val="39"/>
    <w:unhideWhenUsed/>
    <w:rsid w:val="006E6F44"/>
    <w:pPr>
      <w:tabs>
        <w:tab w:val="left" w:pos="709"/>
        <w:tab w:val="right" w:leader="dot" w:pos="9016"/>
      </w:tabs>
      <w:spacing w:after="100"/>
      <w:ind w:left="220"/>
    </w:pPr>
  </w:style>
  <w:style w:type="paragraph" w:customStyle="1" w:styleId="subsection">
    <w:name w:val="subsection"/>
    <w:aliases w:val="ss"/>
    <w:basedOn w:val="Normal"/>
    <w:link w:val="subsectionChar"/>
    <w:rsid w:val="005C42DF"/>
    <w:pPr>
      <w:tabs>
        <w:tab w:val="right" w:pos="1021"/>
      </w:tabs>
      <w:spacing w:before="180" w:after="0" w:line="240" w:lineRule="auto"/>
      <w:ind w:left="1134" w:hanging="1134"/>
    </w:pPr>
    <w:rPr>
      <w:rFonts w:ascii="Times New Roman" w:eastAsia="Times New Roman" w:hAnsi="Times New Roman" w:cs="Times New Roman"/>
      <w:szCs w:val="20"/>
      <w:lang w:eastAsia="en-AU"/>
    </w:rPr>
  </w:style>
  <w:style w:type="paragraph" w:customStyle="1" w:styleId="paragraph">
    <w:name w:val="paragraph"/>
    <w:aliases w:val="a"/>
    <w:basedOn w:val="Normal"/>
    <w:link w:val="paragraphChar"/>
    <w:rsid w:val="005C42DF"/>
    <w:pPr>
      <w:tabs>
        <w:tab w:val="right" w:pos="1531"/>
      </w:tabs>
      <w:spacing w:before="40" w:after="0" w:line="240" w:lineRule="auto"/>
      <w:ind w:left="1644" w:hanging="1644"/>
    </w:pPr>
    <w:rPr>
      <w:rFonts w:ascii="Times New Roman" w:eastAsia="Times New Roman" w:hAnsi="Times New Roman" w:cs="Times New Roman"/>
      <w:szCs w:val="20"/>
      <w:lang w:eastAsia="en-AU"/>
    </w:rPr>
  </w:style>
  <w:style w:type="character" w:customStyle="1" w:styleId="subsectionChar">
    <w:name w:val="subsection Char"/>
    <w:aliases w:val="ss Char"/>
    <w:basedOn w:val="DefaultParagraphFont"/>
    <w:link w:val="subsection"/>
    <w:locked/>
    <w:rsid w:val="005C42DF"/>
    <w:rPr>
      <w:rFonts w:ascii="Times New Roman" w:eastAsia="Times New Roman" w:hAnsi="Times New Roman" w:cs="Times New Roman"/>
      <w:szCs w:val="20"/>
      <w:lang w:eastAsia="en-AU"/>
    </w:rPr>
  </w:style>
  <w:style w:type="character" w:customStyle="1" w:styleId="paragraphChar">
    <w:name w:val="paragraph Char"/>
    <w:aliases w:val="a Char"/>
    <w:basedOn w:val="DefaultParagraphFont"/>
    <w:link w:val="paragraph"/>
    <w:locked/>
    <w:rsid w:val="005C42DF"/>
    <w:rPr>
      <w:rFonts w:ascii="Times New Roman" w:eastAsia="Times New Roman" w:hAnsi="Times New Roman" w:cs="Times New Roman"/>
      <w:szCs w:val="20"/>
      <w:lang w:eastAsia="en-AU"/>
    </w:rPr>
  </w:style>
  <w:style w:type="character" w:customStyle="1" w:styleId="Heading3Char">
    <w:name w:val="Heading 3 Char"/>
    <w:basedOn w:val="DefaultParagraphFont"/>
    <w:link w:val="Heading3"/>
    <w:uiPriority w:val="9"/>
    <w:rsid w:val="00421958"/>
    <w:rPr>
      <w:rFonts w:ascii="Century Gothic" w:eastAsiaTheme="majorEastAsia" w:hAnsi="Century Gothic" w:cstheme="minorHAnsi"/>
      <w:color w:val="EE4A27"/>
    </w:rPr>
  </w:style>
  <w:style w:type="paragraph" w:styleId="FootnoteText">
    <w:name w:val="footnote text"/>
    <w:basedOn w:val="Normal"/>
    <w:link w:val="FootnoteTextChar"/>
    <w:uiPriority w:val="99"/>
    <w:semiHidden/>
    <w:unhideWhenUsed/>
    <w:rsid w:val="0054622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4622A"/>
    <w:rPr>
      <w:sz w:val="20"/>
      <w:szCs w:val="20"/>
    </w:rPr>
  </w:style>
  <w:style w:type="character" w:styleId="FootnoteReference">
    <w:name w:val="footnote reference"/>
    <w:basedOn w:val="DefaultParagraphFont"/>
    <w:uiPriority w:val="99"/>
    <w:semiHidden/>
    <w:unhideWhenUsed/>
    <w:rsid w:val="0054622A"/>
    <w:rPr>
      <w:vertAlign w:val="superscript"/>
    </w:rPr>
  </w:style>
  <w:style w:type="character" w:customStyle="1" w:styleId="Heading5Char">
    <w:name w:val="Heading 5 Char"/>
    <w:basedOn w:val="DefaultParagraphFont"/>
    <w:link w:val="Heading5"/>
    <w:uiPriority w:val="9"/>
    <w:rsid w:val="00751E97"/>
    <w:rPr>
      <w:rFonts w:asciiTheme="majorHAnsi" w:eastAsiaTheme="majorEastAsia" w:hAnsiTheme="majorHAnsi" w:cstheme="majorBidi"/>
      <w:color w:val="2E74B5" w:themeColor="accent1" w:themeShade="BF"/>
    </w:rPr>
  </w:style>
  <w:style w:type="paragraph" w:customStyle="1" w:styleId="paragraphsub">
    <w:name w:val="paragraph(sub)"/>
    <w:aliases w:val="aa"/>
    <w:basedOn w:val="Normal"/>
    <w:rsid w:val="009D6FB6"/>
    <w:pPr>
      <w:tabs>
        <w:tab w:val="right" w:pos="1985"/>
      </w:tabs>
      <w:spacing w:before="40" w:after="0" w:line="240" w:lineRule="auto"/>
      <w:ind w:left="2098" w:hanging="2098"/>
    </w:pPr>
    <w:rPr>
      <w:rFonts w:ascii="Times New Roman" w:eastAsia="Times New Roman" w:hAnsi="Times New Roman" w:cs="Times New Roman"/>
      <w:szCs w:val="20"/>
      <w:lang w:eastAsia="en-AU"/>
    </w:rPr>
  </w:style>
  <w:style w:type="paragraph" w:customStyle="1" w:styleId="Definition">
    <w:name w:val="Definition"/>
    <w:aliases w:val="dd"/>
    <w:basedOn w:val="Normal"/>
    <w:link w:val="DefinitionChar"/>
    <w:rsid w:val="00256A9A"/>
    <w:pPr>
      <w:spacing w:before="180" w:after="0" w:line="240" w:lineRule="auto"/>
      <w:ind w:left="1134"/>
    </w:pPr>
    <w:rPr>
      <w:rFonts w:ascii="Times New Roman" w:eastAsia="Times New Roman" w:hAnsi="Times New Roman" w:cs="Times New Roman"/>
      <w:szCs w:val="20"/>
      <w:lang w:eastAsia="en-AU"/>
    </w:rPr>
  </w:style>
  <w:style w:type="character" w:customStyle="1" w:styleId="DefinitionChar">
    <w:name w:val="Definition Char"/>
    <w:aliases w:val="dd Char"/>
    <w:link w:val="Definition"/>
    <w:rsid w:val="00256A9A"/>
    <w:rPr>
      <w:rFonts w:ascii="Times New Roman" w:eastAsia="Times New Roman" w:hAnsi="Times New Roman" w:cs="Times New Roman"/>
      <w:szCs w:val="20"/>
      <w:lang w:eastAsia="en-AU"/>
    </w:rPr>
  </w:style>
  <w:style w:type="paragraph" w:styleId="Header">
    <w:name w:val="header"/>
    <w:basedOn w:val="Normal"/>
    <w:link w:val="HeaderChar"/>
    <w:uiPriority w:val="99"/>
    <w:unhideWhenUsed/>
    <w:rsid w:val="00943E0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3E0C"/>
  </w:style>
  <w:style w:type="paragraph" w:styleId="Footer">
    <w:name w:val="footer"/>
    <w:basedOn w:val="Normal"/>
    <w:link w:val="FooterChar"/>
    <w:uiPriority w:val="99"/>
    <w:unhideWhenUsed/>
    <w:rsid w:val="00943E0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3E0C"/>
  </w:style>
  <w:style w:type="paragraph" w:styleId="TOC3">
    <w:name w:val="toc 3"/>
    <w:basedOn w:val="Normal"/>
    <w:next w:val="Normal"/>
    <w:autoRedefine/>
    <w:uiPriority w:val="39"/>
    <w:unhideWhenUsed/>
    <w:rsid w:val="006E6F44"/>
    <w:pPr>
      <w:tabs>
        <w:tab w:val="left" w:pos="993"/>
        <w:tab w:val="right" w:leader="dot" w:pos="9016"/>
      </w:tabs>
      <w:spacing w:after="100"/>
      <w:ind w:left="440"/>
    </w:pPr>
  </w:style>
  <w:style w:type="paragraph" w:styleId="ListBullet">
    <w:name w:val="List Bullet"/>
    <w:basedOn w:val="Normal"/>
    <w:uiPriority w:val="99"/>
    <w:unhideWhenUsed/>
    <w:rsid w:val="00781E71"/>
    <w:pPr>
      <w:numPr>
        <w:numId w:val="9"/>
      </w:numPr>
      <w:spacing w:after="160" w:line="259" w:lineRule="auto"/>
      <w:contextualSpacing/>
    </w:pPr>
  </w:style>
  <w:style w:type="character" w:styleId="Emphasis">
    <w:name w:val="Emphasis"/>
    <w:basedOn w:val="DefaultParagraphFont"/>
    <w:uiPriority w:val="20"/>
    <w:qFormat/>
    <w:rsid w:val="006E59DD"/>
    <w:rPr>
      <w:i/>
      <w:iCs/>
    </w:rPr>
  </w:style>
  <w:style w:type="paragraph" w:styleId="NormalWeb">
    <w:name w:val="Normal (Web)"/>
    <w:basedOn w:val="Normal"/>
    <w:uiPriority w:val="99"/>
    <w:unhideWhenUsed/>
    <w:rsid w:val="00051D0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EndnoteText">
    <w:name w:val="endnote text"/>
    <w:basedOn w:val="Normal"/>
    <w:link w:val="EndnoteTextChar"/>
    <w:uiPriority w:val="99"/>
    <w:semiHidden/>
    <w:unhideWhenUsed/>
    <w:rsid w:val="00D3610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36108"/>
    <w:rPr>
      <w:sz w:val="20"/>
      <w:szCs w:val="20"/>
    </w:rPr>
  </w:style>
  <w:style w:type="character" w:styleId="EndnoteReference">
    <w:name w:val="endnote reference"/>
    <w:basedOn w:val="DefaultParagraphFont"/>
    <w:uiPriority w:val="99"/>
    <w:semiHidden/>
    <w:unhideWhenUsed/>
    <w:rsid w:val="00D36108"/>
    <w:rPr>
      <w:vertAlign w:val="superscript"/>
    </w:rPr>
  </w:style>
  <w:style w:type="paragraph" w:styleId="BodyText">
    <w:name w:val="Body Text"/>
    <w:basedOn w:val="Normal"/>
    <w:link w:val="BodyTextChar"/>
    <w:qFormat/>
    <w:rsid w:val="0098074D"/>
    <w:pPr>
      <w:spacing w:after="120" w:line="264" w:lineRule="auto"/>
    </w:pPr>
    <w:rPr>
      <w:color w:val="262626" w:themeColor="text1" w:themeTint="D9"/>
      <w:sz w:val="20"/>
      <w:szCs w:val="20"/>
    </w:rPr>
  </w:style>
  <w:style w:type="character" w:customStyle="1" w:styleId="BodyTextChar">
    <w:name w:val="Body Text Char"/>
    <w:basedOn w:val="DefaultParagraphFont"/>
    <w:link w:val="BodyText"/>
    <w:rsid w:val="0098074D"/>
    <w:rPr>
      <w:color w:val="262626" w:themeColor="text1" w:themeTint="D9"/>
      <w:sz w:val="20"/>
      <w:szCs w:val="20"/>
    </w:rPr>
  </w:style>
  <w:style w:type="paragraph" w:styleId="Revision">
    <w:name w:val="Revision"/>
    <w:hidden/>
    <w:uiPriority w:val="99"/>
    <w:semiHidden/>
    <w:rsid w:val="00B71C85"/>
    <w:pPr>
      <w:spacing w:after="0" w:line="240" w:lineRule="auto"/>
    </w:pPr>
  </w:style>
  <w:style w:type="character" w:styleId="FollowedHyperlink">
    <w:name w:val="FollowedHyperlink"/>
    <w:basedOn w:val="DefaultParagraphFont"/>
    <w:uiPriority w:val="99"/>
    <w:semiHidden/>
    <w:unhideWhenUsed/>
    <w:rsid w:val="00B2681B"/>
    <w:rPr>
      <w:color w:val="954F72" w:themeColor="followedHyperlink"/>
      <w:u w:val="single"/>
    </w:rPr>
  </w:style>
  <w:style w:type="paragraph" w:styleId="NoSpacing">
    <w:name w:val="No Spacing"/>
    <w:uiPriority w:val="1"/>
    <w:qFormat/>
    <w:rsid w:val="00C93EC4"/>
    <w:pPr>
      <w:spacing w:after="0" w:line="240" w:lineRule="auto"/>
    </w:pPr>
  </w:style>
  <w:style w:type="paragraph" w:styleId="Caption">
    <w:name w:val="caption"/>
    <w:basedOn w:val="Normal"/>
    <w:next w:val="Normal"/>
    <w:uiPriority w:val="35"/>
    <w:semiHidden/>
    <w:unhideWhenUsed/>
    <w:qFormat/>
    <w:rsid w:val="00F150BF"/>
    <w:pPr>
      <w:spacing w:line="240" w:lineRule="auto"/>
    </w:pPr>
    <w:rPr>
      <w:i/>
      <w:iCs/>
      <w:color w:val="44546A" w:themeColor="text2"/>
      <w:sz w:val="18"/>
      <w:szCs w:val="18"/>
    </w:rPr>
  </w:style>
  <w:style w:type="paragraph" w:styleId="IntenseQuote">
    <w:name w:val="Intense Quote"/>
    <w:basedOn w:val="Normal"/>
    <w:next w:val="Normal"/>
    <w:link w:val="IntenseQuoteChar"/>
    <w:uiPriority w:val="30"/>
    <w:qFormat/>
    <w:rsid w:val="00377F6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77F6E"/>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03962">
      <w:bodyDiv w:val="1"/>
      <w:marLeft w:val="0"/>
      <w:marRight w:val="0"/>
      <w:marTop w:val="0"/>
      <w:marBottom w:val="0"/>
      <w:divBdr>
        <w:top w:val="none" w:sz="0" w:space="0" w:color="auto"/>
        <w:left w:val="none" w:sz="0" w:space="0" w:color="auto"/>
        <w:bottom w:val="none" w:sz="0" w:space="0" w:color="auto"/>
        <w:right w:val="none" w:sz="0" w:space="0" w:color="auto"/>
      </w:divBdr>
      <w:divsChild>
        <w:div w:id="81343257">
          <w:marLeft w:val="446"/>
          <w:marRight w:val="0"/>
          <w:marTop w:val="0"/>
          <w:marBottom w:val="120"/>
          <w:divBdr>
            <w:top w:val="none" w:sz="0" w:space="0" w:color="auto"/>
            <w:left w:val="none" w:sz="0" w:space="0" w:color="auto"/>
            <w:bottom w:val="none" w:sz="0" w:space="0" w:color="auto"/>
            <w:right w:val="none" w:sz="0" w:space="0" w:color="auto"/>
          </w:divBdr>
        </w:div>
        <w:div w:id="934287377">
          <w:marLeft w:val="446"/>
          <w:marRight w:val="0"/>
          <w:marTop w:val="0"/>
          <w:marBottom w:val="120"/>
          <w:divBdr>
            <w:top w:val="none" w:sz="0" w:space="0" w:color="auto"/>
            <w:left w:val="none" w:sz="0" w:space="0" w:color="auto"/>
            <w:bottom w:val="none" w:sz="0" w:space="0" w:color="auto"/>
            <w:right w:val="none" w:sz="0" w:space="0" w:color="auto"/>
          </w:divBdr>
        </w:div>
        <w:div w:id="1075588156">
          <w:marLeft w:val="446"/>
          <w:marRight w:val="0"/>
          <w:marTop w:val="0"/>
          <w:marBottom w:val="120"/>
          <w:divBdr>
            <w:top w:val="none" w:sz="0" w:space="0" w:color="auto"/>
            <w:left w:val="none" w:sz="0" w:space="0" w:color="auto"/>
            <w:bottom w:val="none" w:sz="0" w:space="0" w:color="auto"/>
            <w:right w:val="none" w:sz="0" w:space="0" w:color="auto"/>
          </w:divBdr>
        </w:div>
        <w:div w:id="1889950315">
          <w:marLeft w:val="446"/>
          <w:marRight w:val="0"/>
          <w:marTop w:val="0"/>
          <w:marBottom w:val="120"/>
          <w:divBdr>
            <w:top w:val="none" w:sz="0" w:space="0" w:color="auto"/>
            <w:left w:val="none" w:sz="0" w:space="0" w:color="auto"/>
            <w:bottom w:val="none" w:sz="0" w:space="0" w:color="auto"/>
            <w:right w:val="none" w:sz="0" w:space="0" w:color="auto"/>
          </w:divBdr>
        </w:div>
      </w:divsChild>
    </w:div>
    <w:div w:id="161940736">
      <w:bodyDiv w:val="1"/>
      <w:marLeft w:val="0"/>
      <w:marRight w:val="0"/>
      <w:marTop w:val="0"/>
      <w:marBottom w:val="0"/>
      <w:divBdr>
        <w:top w:val="none" w:sz="0" w:space="0" w:color="auto"/>
        <w:left w:val="none" w:sz="0" w:space="0" w:color="auto"/>
        <w:bottom w:val="none" w:sz="0" w:space="0" w:color="auto"/>
        <w:right w:val="none" w:sz="0" w:space="0" w:color="auto"/>
      </w:divBdr>
    </w:div>
    <w:div w:id="228806181">
      <w:bodyDiv w:val="1"/>
      <w:marLeft w:val="0"/>
      <w:marRight w:val="0"/>
      <w:marTop w:val="0"/>
      <w:marBottom w:val="0"/>
      <w:divBdr>
        <w:top w:val="none" w:sz="0" w:space="0" w:color="auto"/>
        <w:left w:val="none" w:sz="0" w:space="0" w:color="auto"/>
        <w:bottom w:val="none" w:sz="0" w:space="0" w:color="auto"/>
        <w:right w:val="none" w:sz="0" w:space="0" w:color="auto"/>
      </w:divBdr>
    </w:div>
    <w:div w:id="289560007">
      <w:bodyDiv w:val="1"/>
      <w:marLeft w:val="0"/>
      <w:marRight w:val="0"/>
      <w:marTop w:val="0"/>
      <w:marBottom w:val="0"/>
      <w:divBdr>
        <w:top w:val="none" w:sz="0" w:space="0" w:color="auto"/>
        <w:left w:val="none" w:sz="0" w:space="0" w:color="auto"/>
        <w:bottom w:val="none" w:sz="0" w:space="0" w:color="auto"/>
        <w:right w:val="none" w:sz="0" w:space="0" w:color="auto"/>
      </w:divBdr>
    </w:div>
    <w:div w:id="436681309">
      <w:bodyDiv w:val="1"/>
      <w:marLeft w:val="0"/>
      <w:marRight w:val="0"/>
      <w:marTop w:val="0"/>
      <w:marBottom w:val="0"/>
      <w:divBdr>
        <w:top w:val="none" w:sz="0" w:space="0" w:color="auto"/>
        <w:left w:val="none" w:sz="0" w:space="0" w:color="auto"/>
        <w:bottom w:val="none" w:sz="0" w:space="0" w:color="auto"/>
        <w:right w:val="none" w:sz="0" w:space="0" w:color="auto"/>
      </w:divBdr>
    </w:div>
    <w:div w:id="474219082">
      <w:bodyDiv w:val="1"/>
      <w:marLeft w:val="0"/>
      <w:marRight w:val="0"/>
      <w:marTop w:val="0"/>
      <w:marBottom w:val="0"/>
      <w:divBdr>
        <w:top w:val="none" w:sz="0" w:space="0" w:color="auto"/>
        <w:left w:val="none" w:sz="0" w:space="0" w:color="auto"/>
        <w:bottom w:val="none" w:sz="0" w:space="0" w:color="auto"/>
        <w:right w:val="none" w:sz="0" w:space="0" w:color="auto"/>
      </w:divBdr>
    </w:div>
    <w:div w:id="616180464">
      <w:bodyDiv w:val="1"/>
      <w:marLeft w:val="0"/>
      <w:marRight w:val="0"/>
      <w:marTop w:val="0"/>
      <w:marBottom w:val="0"/>
      <w:divBdr>
        <w:top w:val="none" w:sz="0" w:space="0" w:color="auto"/>
        <w:left w:val="none" w:sz="0" w:space="0" w:color="auto"/>
        <w:bottom w:val="none" w:sz="0" w:space="0" w:color="auto"/>
        <w:right w:val="none" w:sz="0" w:space="0" w:color="auto"/>
      </w:divBdr>
    </w:div>
    <w:div w:id="647710400">
      <w:bodyDiv w:val="1"/>
      <w:marLeft w:val="0"/>
      <w:marRight w:val="0"/>
      <w:marTop w:val="0"/>
      <w:marBottom w:val="0"/>
      <w:divBdr>
        <w:top w:val="none" w:sz="0" w:space="0" w:color="auto"/>
        <w:left w:val="none" w:sz="0" w:space="0" w:color="auto"/>
        <w:bottom w:val="none" w:sz="0" w:space="0" w:color="auto"/>
        <w:right w:val="none" w:sz="0" w:space="0" w:color="auto"/>
      </w:divBdr>
      <w:divsChild>
        <w:div w:id="58945881">
          <w:marLeft w:val="446"/>
          <w:marRight w:val="0"/>
          <w:marTop w:val="200"/>
          <w:marBottom w:val="0"/>
          <w:divBdr>
            <w:top w:val="none" w:sz="0" w:space="0" w:color="auto"/>
            <w:left w:val="none" w:sz="0" w:space="0" w:color="auto"/>
            <w:bottom w:val="none" w:sz="0" w:space="0" w:color="auto"/>
            <w:right w:val="none" w:sz="0" w:space="0" w:color="auto"/>
          </w:divBdr>
        </w:div>
        <w:div w:id="1011684414">
          <w:marLeft w:val="446"/>
          <w:marRight w:val="0"/>
          <w:marTop w:val="200"/>
          <w:marBottom w:val="0"/>
          <w:divBdr>
            <w:top w:val="none" w:sz="0" w:space="0" w:color="auto"/>
            <w:left w:val="none" w:sz="0" w:space="0" w:color="auto"/>
            <w:bottom w:val="none" w:sz="0" w:space="0" w:color="auto"/>
            <w:right w:val="none" w:sz="0" w:space="0" w:color="auto"/>
          </w:divBdr>
        </w:div>
      </w:divsChild>
    </w:div>
    <w:div w:id="669871106">
      <w:bodyDiv w:val="1"/>
      <w:marLeft w:val="0"/>
      <w:marRight w:val="0"/>
      <w:marTop w:val="0"/>
      <w:marBottom w:val="0"/>
      <w:divBdr>
        <w:top w:val="none" w:sz="0" w:space="0" w:color="auto"/>
        <w:left w:val="none" w:sz="0" w:space="0" w:color="auto"/>
        <w:bottom w:val="none" w:sz="0" w:space="0" w:color="auto"/>
        <w:right w:val="none" w:sz="0" w:space="0" w:color="auto"/>
      </w:divBdr>
    </w:div>
    <w:div w:id="677973832">
      <w:bodyDiv w:val="1"/>
      <w:marLeft w:val="0"/>
      <w:marRight w:val="0"/>
      <w:marTop w:val="0"/>
      <w:marBottom w:val="0"/>
      <w:divBdr>
        <w:top w:val="none" w:sz="0" w:space="0" w:color="auto"/>
        <w:left w:val="none" w:sz="0" w:space="0" w:color="auto"/>
        <w:bottom w:val="none" w:sz="0" w:space="0" w:color="auto"/>
        <w:right w:val="none" w:sz="0" w:space="0" w:color="auto"/>
      </w:divBdr>
    </w:div>
    <w:div w:id="688719156">
      <w:bodyDiv w:val="1"/>
      <w:marLeft w:val="0"/>
      <w:marRight w:val="0"/>
      <w:marTop w:val="0"/>
      <w:marBottom w:val="0"/>
      <w:divBdr>
        <w:top w:val="none" w:sz="0" w:space="0" w:color="auto"/>
        <w:left w:val="none" w:sz="0" w:space="0" w:color="auto"/>
        <w:bottom w:val="none" w:sz="0" w:space="0" w:color="auto"/>
        <w:right w:val="none" w:sz="0" w:space="0" w:color="auto"/>
      </w:divBdr>
    </w:div>
    <w:div w:id="735862331">
      <w:bodyDiv w:val="1"/>
      <w:marLeft w:val="0"/>
      <w:marRight w:val="0"/>
      <w:marTop w:val="0"/>
      <w:marBottom w:val="0"/>
      <w:divBdr>
        <w:top w:val="none" w:sz="0" w:space="0" w:color="auto"/>
        <w:left w:val="none" w:sz="0" w:space="0" w:color="auto"/>
        <w:bottom w:val="none" w:sz="0" w:space="0" w:color="auto"/>
        <w:right w:val="none" w:sz="0" w:space="0" w:color="auto"/>
      </w:divBdr>
    </w:div>
    <w:div w:id="742872619">
      <w:bodyDiv w:val="1"/>
      <w:marLeft w:val="0"/>
      <w:marRight w:val="0"/>
      <w:marTop w:val="0"/>
      <w:marBottom w:val="0"/>
      <w:divBdr>
        <w:top w:val="none" w:sz="0" w:space="0" w:color="auto"/>
        <w:left w:val="none" w:sz="0" w:space="0" w:color="auto"/>
        <w:bottom w:val="none" w:sz="0" w:space="0" w:color="auto"/>
        <w:right w:val="none" w:sz="0" w:space="0" w:color="auto"/>
      </w:divBdr>
    </w:div>
    <w:div w:id="814682579">
      <w:bodyDiv w:val="1"/>
      <w:marLeft w:val="0"/>
      <w:marRight w:val="0"/>
      <w:marTop w:val="0"/>
      <w:marBottom w:val="0"/>
      <w:divBdr>
        <w:top w:val="none" w:sz="0" w:space="0" w:color="auto"/>
        <w:left w:val="none" w:sz="0" w:space="0" w:color="auto"/>
        <w:bottom w:val="none" w:sz="0" w:space="0" w:color="auto"/>
        <w:right w:val="none" w:sz="0" w:space="0" w:color="auto"/>
      </w:divBdr>
      <w:divsChild>
        <w:div w:id="1183130715">
          <w:marLeft w:val="0"/>
          <w:marRight w:val="0"/>
          <w:marTop w:val="0"/>
          <w:marBottom w:val="0"/>
          <w:divBdr>
            <w:top w:val="none" w:sz="0" w:space="0" w:color="auto"/>
            <w:left w:val="none" w:sz="0" w:space="0" w:color="auto"/>
            <w:bottom w:val="none" w:sz="0" w:space="0" w:color="auto"/>
            <w:right w:val="none" w:sz="0" w:space="0" w:color="auto"/>
          </w:divBdr>
        </w:div>
      </w:divsChild>
    </w:div>
    <w:div w:id="1065759382">
      <w:bodyDiv w:val="1"/>
      <w:marLeft w:val="0"/>
      <w:marRight w:val="0"/>
      <w:marTop w:val="0"/>
      <w:marBottom w:val="0"/>
      <w:divBdr>
        <w:top w:val="none" w:sz="0" w:space="0" w:color="auto"/>
        <w:left w:val="none" w:sz="0" w:space="0" w:color="auto"/>
        <w:bottom w:val="none" w:sz="0" w:space="0" w:color="auto"/>
        <w:right w:val="none" w:sz="0" w:space="0" w:color="auto"/>
      </w:divBdr>
    </w:div>
    <w:div w:id="1098913297">
      <w:bodyDiv w:val="1"/>
      <w:marLeft w:val="0"/>
      <w:marRight w:val="0"/>
      <w:marTop w:val="0"/>
      <w:marBottom w:val="0"/>
      <w:divBdr>
        <w:top w:val="none" w:sz="0" w:space="0" w:color="auto"/>
        <w:left w:val="none" w:sz="0" w:space="0" w:color="auto"/>
        <w:bottom w:val="none" w:sz="0" w:space="0" w:color="auto"/>
        <w:right w:val="none" w:sz="0" w:space="0" w:color="auto"/>
      </w:divBdr>
    </w:div>
    <w:div w:id="1171723738">
      <w:bodyDiv w:val="1"/>
      <w:marLeft w:val="0"/>
      <w:marRight w:val="0"/>
      <w:marTop w:val="0"/>
      <w:marBottom w:val="0"/>
      <w:divBdr>
        <w:top w:val="none" w:sz="0" w:space="0" w:color="auto"/>
        <w:left w:val="none" w:sz="0" w:space="0" w:color="auto"/>
        <w:bottom w:val="none" w:sz="0" w:space="0" w:color="auto"/>
        <w:right w:val="none" w:sz="0" w:space="0" w:color="auto"/>
      </w:divBdr>
      <w:divsChild>
        <w:div w:id="857158765">
          <w:marLeft w:val="446"/>
          <w:marRight w:val="0"/>
          <w:marTop w:val="0"/>
          <w:marBottom w:val="0"/>
          <w:divBdr>
            <w:top w:val="none" w:sz="0" w:space="0" w:color="auto"/>
            <w:left w:val="none" w:sz="0" w:space="0" w:color="auto"/>
            <w:bottom w:val="none" w:sz="0" w:space="0" w:color="auto"/>
            <w:right w:val="none" w:sz="0" w:space="0" w:color="auto"/>
          </w:divBdr>
        </w:div>
        <w:div w:id="1819569687">
          <w:marLeft w:val="446"/>
          <w:marRight w:val="0"/>
          <w:marTop w:val="0"/>
          <w:marBottom w:val="0"/>
          <w:divBdr>
            <w:top w:val="none" w:sz="0" w:space="0" w:color="auto"/>
            <w:left w:val="none" w:sz="0" w:space="0" w:color="auto"/>
            <w:bottom w:val="none" w:sz="0" w:space="0" w:color="auto"/>
            <w:right w:val="none" w:sz="0" w:space="0" w:color="auto"/>
          </w:divBdr>
        </w:div>
        <w:div w:id="1860316486">
          <w:marLeft w:val="446"/>
          <w:marRight w:val="0"/>
          <w:marTop w:val="0"/>
          <w:marBottom w:val="0"/>
          <w:divBdr>
            <w:top w:val="none" w:sz="0" w:space="0" w:color="auto"/>
            <w:left w:val="none" w:sz="0" w:space="0" w:color="auto"/>
            <w:bottom w:val="none" w:sz="0" w:space="0" w:color="auto"/>
            <w:right w:val="none" w:sz="0" w:space="0" w:color="auto"/>
          </w:divBdr>
        </w:div>
        <w:div w:id="2005862215">
          <w:marLeft w:val="446"/>
          <w:marRight w:val="0"/>
          <w:marTop w:val="0"/>
          <w:marBottom w:val="0"/>
          <w:divBdr>
            <w:top w:val="none" w:sz="0" w:space="0" w:color="auto"/>
            <w:left w:val="none" w:sz="0" w:space="0" w:color="auto"/>
            <w:bottom w:val="none" w:sz="0" w:space="0" w:color="auto"/>
            <w:right w:val="none" w:sz="0" w:space="0" w:color="auto"/>
          </w:divBdr>
        </w:div>
      </w:divsChild>
    </w:div>
    <w:div w:id="1203440450">
      <w:bodyDiv w:val="1"/>
      <w:marLeft w:val="0"/>
      <w:marRight w:val="0"/>
      <w:marTop w:val="0"/>
      <w:marBottom w:val="0"/>
      <w:divBdr>
        <w:top w:val="none" w:sz="0" w:space="0" w:color="auto"/>
        <w:left w:val="none" w:sz="0" w:space="0" w:color="auto"/>
        <w:bottom w:val="none" w:sz="0" w:space="0" w:color="auto"/>
        <w:right w:val="none" w:sz="0" w:space="0" w:color="auto"/>
      </w:divBdr>
    </w:div>
    <w:div w:id="1277058109">
      <w:bodyDiv w:val="1"/>
      <w:marLeft w:val="0"/>
      <w:marRight w:val="0"/>
      <w:marTop w:val="0"/>
      <w:marBottom w:val="0"/>
      <w:divBdr>
        <w:top w:val="none" w:sz="0" w:space="0" w:color="auto"/>
        <w:left w:val="none" w:sz="0" w:space="0" w:color="auto"/>
        <w:bottom w:val="none" w:sz="0" w:space="0" w:color="auto"/>
        <w:right w:val="none" w:sz="0" w:space="0" w:color="auto"/>
      </w:divBdr>
    </w:div>
    <w:div w:id="1284270747">
      <w:bodyDiv w:val="1"/>
      <w:marLeft w:val="0"/>
      <w:marRight w:val="0"/>
      <w:marTop w:val="0"/>
      <w:marBottom w:val="0"/>
      <w:divBdr>
        <w:top w:val="none" w:sz="0" w:space="0" w:color="auto"/>
        <w:left w:val="none" w:sz="0" w:space="0" w:color="auto"/>
        <w:bottom w:val="none" w:sz="0" w:space="0" w:color="auto"/>
        <w:right w:val="none" w:sz="0" w:space="0" w:color="auto"/>
      </w:divBdr>
    </w:div>
    <w:div w:id="1349454514">
      <w:bodyDiv w:val="1"/>
      <w:marLeft w:val="0"/>
      <w:marRight w:val="0"/>
      <w:marTop w:val="0"/>
      <w:marBottom w:val="0"/>
      <w:divBdr>
        <w:top w:val="none" w:sz="0" w:space="0" w:color="auto"/>
        <w:left w:val="none" w:sz="0" w:space="0" w:color="auto"/>
        <w:bottom w:val="none" w:sz="0" w:space="0" w:color="auto"/>
        <w:right w:val="none" w:sz="0" w:space="0" w:color="auto"/>
      </w:divBdr>
    </w:div>
    <w:div w:id="1405758612">
      <w:bodyDiv w:val="1"/>
      <w:marLeft w:val="0"/>
      <w:marRight w:val="0"/>
      <w:marTop w:val="0"/>
      <w:marBottom w:val="0"/>
      <w:divBdr>
        <w:top w:val="none" w:sz="0" w:space="0" w:color="auto"/>
        <w:left w:val="none" w:sz="0" w:space="0" w:color="auto"/>
        <w:bottom w:val="none" w:sz="0" w:space="0" w:color="auto"/>
        <w:right w:val="none" w:sz="0" w:space="0" w:color="auto"/>
      </w:divBdr>
      <w:divsChild>
        <w:div w:id="108401039">
          <w:marLeft w:val="446"/>
          <w:marRight w:val="0"/>
          <w:marTop w:val="200"/>
          <w:marBottom w:val="0"/>
          <w:divBdr>
            <w:top w:val="none" w:sz="0" w:space="0" w:color="auto"/>
            <w:left w:val="none" w:sz="0" w:space="0" w:color="auto"/>
            <w:bottom w:val="none" w:sz="0" w:space="0" w:color="auto"/>
            <w:right w:val="none" w:sz="0" w:space="0" w:color="auto"/>
          </w:divBdr>
        </w:div>
        <w:div w:id="349720539">
          <w:marLeft w:val="446"/>
          <w:marRight w:val="0"/>
          <w:marTop w:val="200"/>
          <w:marBottom w:val="0"/>
          <w:divBdr>
            <w:top w:val="none" w:sz="0" w:space="0" w:color="auto"/>
            <w:left w:val="none" w:sz="0" w:space="0" w:color="auto"/>
            <w:bottom w:val="none" w:sz="0" w:space="0" w:color="auto"/>
            <w:right w:val="none" w:sz="0" w:space="0" w:color="auto"/>
          </w:divBdr>
        </w:div>
        <w:div w:id="1097097537">
          <w:marLeft w:val="446"/>
          <w:marRight w:val="0"/>
          <w:marTop w:val="200"/>
          <w:marBottom w:val="0"/>
          <w:divBdr>
            <w:top w:val="none" w:sz="0" w:space="0" w:color="auto"/>
            <w:left w:val="none" w:sz="0" w:space="0" w:color="auto"/>
            <w:bottom w:val="none" w:sz="0" w:space="0" w:color="auto"/>
            <w:right w:val="none" w:sz="0" w:space="0" w:color="auto"/>
          </w:divBdr>
        </w:div>
        <w:div w:id="1611664313">
          <w:marLeft w:val="446"/>
          <w:marRight w:val="0"/>
          <w:marTop w:val="200"/>
          <w:marBottom w:val="0"/>
          <w:divBdr>
            <w:top w:val="none" w:sz="0" w:space="0" w:color="auto"/>
            <w:left w:val="none" w:sz="0" w:space="0" w:color="auto"/>
            <w:bottom w:val="none" w:sz="0" w:space="0" w:color="auto"/>
            <w:right w:val="none" w:sz="0" w:space="0" w:color="auto"/>
          </w:divBdr>
        </w:div>
      </w:divsChild>
    </w:div>
    <w:div w:id="1700007042">
      <w:bodyDiv w:val="1"/>
      <w:marLeft w:val="0"/>
      <w:marRight w:val="0"/>
      <w:marTop w:val="0"/>
      <w:marBottom w:val="0"/>
      <w:divBdr>
        <w:top w:val="none" w:sz="0" w:space="0" w:color="auto"/>
        <w:left w:val="none" w:sz="0" w:space="0" w:color="auto"/>
        <w:bottom w:val="none" w:sz="0" w:space="0" w:color="auto"/>
        <w:right w:val="none" w:sz="0" w:space="0" w:color="auto"/>
      </w:divBdr>
    </w:div>
    <w:div w:id="1736708099">
      <w:bodyDiv w:val="1"/>
      <w:marLeft w:val="0"/>
      <w:marRight w:val="0"/>
      <w:marTop w:val="0"/>
      <w:marBottom w:val="0"/>
      <w:divBdr>
        <w:top w:val="none" w:sz="0" w:space="0" w:color="auto"/>
        <w:left w:val="none" w:sz="0" w:space="0" w:color="auto"/>
        <w:bottom w:val="none" w:sz="0" w:space="0" w:color="auto"/>
        <w:right w:val="none" w:sz="0" w:space="0" w:color="auto"/>
      </w:divBdr>
    </w:div>
    <w:div w:id="1886943036">
      <w:bodyDiv w:val="1"/>
      <w:marLeft w:val="0"/>
      <w:marRight w:val="0"/>
      <w:marTop w:val="0"/>
      <w:marBottom w:val="0"/>
      <w:divBdr>
        <w:top w:val="none" w:sz="0" w:space="0" w:color="auto"/>
        <w:left w:val="none" w:sz="0" w:space="0" w:color="auto"/>
        <w:bottom w:val="none" w:sz="0" w:space="0" w:color="auto"/>
        <w:right w:val="none" w:sz="0" w:space="0" w:color="auto"/>
      </w:divBdr>
    </w:div>
    <w:div w:id="1949653456">
      <w:bodyDiv w:val="1"/>
      <w:marLeft w:val="0"/>
      <w:marRight w:val="0"/>
      <w:marTop w:val="0"/>
      <w:marBottom w:val="0"/>
      <w:divBdr>
        <w:top w:val="none" w:sz="0" w:space="0" w:color="auto"/>
        <w:left w:val="none" w:sz="0" w:space="0" w:color="auto"/>
        <w:bottom w:val="none" w:sz="0" w:space="0" w:color="auto"/>
        <w:right w:val="none" w:sz="0" w:space="0" w:color="auto"/>
      </w:divBdr>
    </w:div>
    <w:div w:id="1980960030">
      <w:bodyDiv w:val="1"/>
      <w:marLeft w:val="0"/>
      <w:marRight w:val="0"/>
      <w:marTop w:val="0"/>
      <w:marBottom w:val="0"/>
      <w:divBdr>
        <w:top w:val="none" w:sz="0" w:space="0" w:color="auto"/>
        <w:left w:val="none" w:sz="0" w:space="0" w:color="auto"/>
        <w:bottom w:val="none" w:sz="0" w:space="0" w:color="auto"/>
        <w:right w:val="none" w:sz="0" w:space="0" w:color="auto"/>
      </w:divBdr>
    </w:div>
    <w:div w:id="2035956602">
      <w:bodyDiv w:val="1"/>
      <w:marLeft w:val="0"/>
      <w:marRight w:val="0"/>
      <w:marTop w:val="0"/>
      <w:marBottom w:val="0"/>
      <w:divBdr>
        <w:top w:val="none" w:sz="0" w:space="0" w:color="auto"/>
        <w:left w:val="none" w:sz="0" w:space="0" w:color="auto"/>
        <w:bottom w:val="none" w:sz="0" w:space="0" w:color="auto"/>
        <w:right w:val="none" w:sz="0" w:space="0" w:color="auto"/>
      </w:divBdr>
    </w:div>
    <w:div w:id="2080328256">
      <w:bodyDiv w:val="1"/>
      <w:marLeft w:val="0"/>
      <w:marRight w:val="0"/>
      <w:marTop w:val="0"/>
      <w:marBottom w:val="0"/>
      <w:divBdr>
        <w:top w:val="none" w:sz="0" w:space="0" w:color="auto"/>
        <w:left w:val="none" w:sz="0" w:space="0" w:color="auto"/>
        <w:bottom w:val="none" w:sz="0" w:space="0" w:color="auto"/>
        <w:right w:val="none" w:sz="0" w:space="0" w:color="auto"/>
      </w:divBdr>
    </w:div>
    <w:div w:id="214264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atacommissioner.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atacommissioner.gov.au/form/contac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atacommissioner.gov.au"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datacommissioner.gov.au/resources/foundational-four" TargetMode="External"/><Relationship Id="rId13" Type="http://schemas.openxmlformats.org/officeDocument/2006/relationships/hyperlink" Target="https://www.datacommissioner.gov.au/exposure-draft" TargetMode="External"/><Relationship Id="rId18" Type="http://schemas.openxmlformats.org/officeDocument/2006/relationships/hyperlink" Target="https://www.datacommissioner.gov.au/exposure-draft" TargetMode="External"/><Relationship Id="rId3" Type="http://schemas.openxmlformats.org/officeDocument/2006/relationships/hyperlink" Target="https://www.pc.gov.au/inquiries/completed/data-access" TargetMode="External"/><Relationship Id="rId7" Type="http://schemas.openxmlformats.org/officeDocument/2006/relationships/hyperlink" Target="https://www.datacommissioner.gov.au/resources/draft-data-sharing-agreement-template" TargetMode="External"/><Relationship Id="rId12" Type="http://schemas.openxmlformats.org/officeDocument/2006/relationships/hyperlink" Target="https://www.datacommissioner.gov.au/resources/2019-privacy-impact-assessment" TargetMode="External"/><Relationship Id="rId17" Type="http://schemas.openxmlformats.org/officeDocument/2006/relationships/hyperlink" Target="https://www.gida-global.org/care" TargetMode="External"/><Relationship Id="rId2" Type="http://schemas.openxmlformats.org/officeDocument/2006/relationships/hyperlink" Target="https://naturaldisaster.royalcommission.gov.au/publications/interim-observations-1" TargetMode="External"/><Relationship Id="rId16" Type="http://schemas.openxmlformats.org/officeDocument/2006/relationships/hyperlink" Target="https://www.alrc.gov.au/publication/serious-invasions-ofprivacy-" TargetMode="External"/><Relationship Id="rId1" Type="http://schemas.openxmlformats.org/officeDocument/2006/relationships/hyperlink" Target="https://www.datacommissioner.gov.au/exposure-draft" TargetMode="External"/><Relationship Id="rId6" Type="http://schemas.openxmlformats.org/officeDocument/2006/relationships/hyperlink" Target="https://www.datacommissioner.gov.au/resources/sharing-data-safely-package" TargetMode="External"/><Relationship Id="rId11" Type="http://schemas.openxmlformats.org/officeDocument/2006/relationships/hyperlink" Target="https://www.datacommissioner.gov.au/resources/discussion-paper" TargetMode="External"/><Relationship Id="rId5" Type="http://schemas.openxmlformats.org/officeDocument/2006/relationships/hyperlink" Target="https://www.datacommissioner.gov.au/about/advisory-council" TargetMode="External"/><Relationship Id="rId15" Type="http://schemas.openxmlformats.org/officeDocument/2006/relationships/hyperlink" Target="https://www.datacommissioner.gov.au/resources/draft-data-sharing-agreement-template" TargetMode="External"/><Relationship Id="rId10" Type="http://schemas.openxmlformats.org/officeDocument/2006/relationships/hyperlink" Target="https://www.datacommissioner.gov.au/resources/2018-issues-paper" TargetMode="External"/><Relationship Id="rId4" Type="http://schemas.openxmlformats.org/officeDocument/2006/relationships/hyperlink" Target="https://dataavailability.pmc.gov.au/" TargetMode="External"/><Relationship Id="rId9" Type="http://schemas.openxmlformats.org/officeDocument/2006/relationships/hyperlink" Target="https://ardc.edu.au/news/research-data-rights/" TargetMode="External"/><Relationship Id="rId14" Type="http://schemas.openxmlformats.org/officeDocument/2006/relationships/hyperlink" Target="https://www.datacommissioner.gov.au/resources/sharing-data-safely-packa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c5611b894cf49d8aeeb8ebf39dc09bc xmlns="7b3d1248-05b8-42e3-a533-bc4fbc8238ab">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11463c70-78df-4e3b-b0ff-f66cd3cb26ec</TermId>
        </TermInfo>
      </Terms>
    </mc5611b894cf49d8aeeb8ebf39dc09bc>
    <jd1c641577414dfdab1686c9d5d0dbd0 xmlns="7b3d1248-05b8-42e3-a533-bc4fbc8238ab">
      <Terms xmlns="http://schemas.microsoft.com/office/infopath/2007/PartnerControls"/>
    </jd1c641577414dfdab1686c9d5d0dbd0>
    <ShareHubID xmlns="7b3d1248-05b8-42e3-a533-bc4fbc8238ab">DOC20-261830</ShareHubID>
    <TaxCatchAll xmlns="7b3d1248-05b8-42e3-a533-bc4fbc8238ab">
      <Value>6</Value>
      <Value>34</Value>
      <Value>41</Value>
    </TaxCatchAll>
    <h9dd18ef37b94de185977157029677d8 xmlns="7b3d1248-05b8-42e3-a533-bc4fbc8238ab">
      <Terms xmlns="http://schemas.microsoft.com/office/infopath/2007/PartnerControls">
        <TermInfo xmlns="http://schemas.microsoft.com/office/infopath/2007/PartnerControls">
          <TermName xmlns="http://schemas.microsoft.com/office/infopath/2007/PartnerControls">Training</TermName>
          <TermId xmlns="http://schemas.microsoft.com/office/infopath/2007/PartnerControls">2f396fb6-baad-479d-8254-1550153bbe31</TermId>
        </TermInfo>
        <TermInfo xmlns="http://schemas.microsoft.com/office/infopath/2007/PartnerControls">
          <TermName xmlns="http://schemas.microsoft.com/office/infopath/2007/PartnerControls">COVID-19</TermName>
          <TermId xmlns="http://schemas.microsoft.com/office/infopath/2007/PartnerControls">c1da604a-829f-435b-844b-fd97e09d1455</TermId>
        </TermInfo>
      </Terms>
    </h9dd18ef37b94de185977157029677d8>
    <PMCNotes xmlns="7b3d1248-05b8-42e3-a533-bc4fbc8238ab" xsi:nil="true"/>
    <NonRecordJustification xmlns="685f9fda-bd71-4433-b331-92feb9553089">None</NonRecordJustification>
  </documentManagement>
</p:properties>
</file>

<file path=customXml/item3.xml><?xml version="1.0" encoding="utf-8"?>
<ct:contentTypeSchema xmlns:ct="http://schemas.microsoft.com/office/2006/metadata/contentType" xmlns:ma="http://schemas.microsoft.com/office/2006/metadata/properties/metaAttributes" ct:_="" ma:_="" ma:contentTypeName="ShareHub Document" ma:contentTypeID="0x0101002825A64A6E1845A99A9D8EE8A5686ECB0038DE6067F445304F86309C20B9B4F65E" ma:contentTypeVersion="5" ma:contentTypeDescription="ShareHub Document" ma:contentTypeScope="" ma:versionID="76e705118a834d6da3f512de60f397cc">
  <xsd:schema xmlns:xsd="http://www.w3.org/2001/XMLSchema" xmlns:xs="http://www.w3.org/2001/XMLSchema" xmlns:p="http://schemas.microsoft.com/office/2006/metadata/properties" xmlns:ns1="7b3d1248-05b8-42e3-a533-bc4fbc8238ab" xmlns:ns3="685f9fda-bd71-4433-b331-92feb9553089" targetNamespace="http://schemas.microsoft.com/office/2006/metadata/properties" ma:root="true" ma:fieldsID="2b32dc6a923b121886b61044051e4aec" ns1:_="" ns3:_="">
    <xsd:import namespace="7b3d1248-05b8-42e3-a533-bc4fbc8238ab"/>
    <xsd:import namespace="685f9fda-bd71-4433-b331-92feb9553089"/>
    <xsd:element name="properties">
      <xsd:complexType>
        <xsd:sequence>
          <xsd:element name="documentManagement">
            <xsd:complexType>
              <xsd:all>
                <xsd:element ref="ns1:ShareHubID" minOccurs="0"/>
                <xsd:element ref="ns3:NonRecordJustification" minOccurs="0"/>
                <xsd:element ref="ns1:PMCNotes" minOccurs="0"/>
                <xsd:element ref="ns1:mc5611b894cf49d8aeeb8ebf39dc09bc" minOccurs="0"/>
                <xsd:element ref="ns1:TaxCatchAll" minOccurs="0"/>
                <xsd:element ref="ns1:TaxCatchAllLabel" minOccurs="0"/>
                <xsd:element ref="ns1:jd1c641577414dfdab1686c9d5d0dbd0" minOccurs="0"/>
                <xsd:element ref="ns1:SharedWithUsers" minOccurs="0"/>
                <xsd:element ref="ns1:h9dd18ef37b94de185977157029677d8"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3d1248-05b8-42e3-a533-bc4fbc8238ab" elementFormDefault="qualified">
    <xsd:import namespace="http://schemas.microsoft.com/office/2006/documentManagement/types"/>
    <xsd:import namespace="http://schemas.microsoft.com/office/infopath/2007/PartnerControls"/>
    <xsd:element name="ShareHubID" ma:index="0" nillable="true" ma:displayName="Record ID" ma:indexed="true" ma:internalName="ShareHubID">
      <xsd:simpleType>
        <xsd:restriction base="dms:Text">
          <xsd:maxLength value="255"/>
        </xsd:restriction>
      </xsd:simpleType>
    </xsd:element>
    <xsd:element name="PMCNotes" ma:index="6" nillable="true" ma:displayName="Notes" ma:internalName="PMCNotes">
      <xsd:simpleType>
        <xsd:restriction base="dms:Note">
          <xsd:maxLength value="255"/>
        </xsd:restriction>
      </xsd:simpleType>
    </xsd:element>
    <xsd:element name="mc5611b894cf49d8aeeb8ebf39dc09bc" ma:index="8" ma:taxonomy="true" ma:internalName="mc5611b894cf49d8aeeb8ebf39dc09bc" ma:taxonomyFieldName="HPRMSecurityLevel" ma:displayName="Security Classification" ma:default="34;#OFFICIAL|11463c70-78df-4e3b-b0ff-f66cd3cb26ec" ma:fieldId="{6c5611b8-94cf-49d8-aeeb-8ebf39dc09bc}" ma:sspId="fdd71c70-8dda-4116-8995-314ca52d638a" ma:termSetId="ad616a2a-2f34-42df-868f-846f11d5d891"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4059249-857f-4e21-924c-c7a354eb016b}" ma:internalName="TaxCatchAll" ma:showField="CatchAllData" ma:web="7b3d1248-05b8-42e3-a533-bc4fbc8238ab">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4059249-857f-4e21-924c-c7a354eb016b}" ma:internalName="TaxCatchAllLabel" ma:readOnly="true" ma:showField="CatchAllDataLabel" ma:web="7b3d1248-05b8-42e3-a533-bc4fbc8238ab">
      <xsd:complexType>
        <xsd:complexContent>
          <xsd:extension base="dms:MultiChoiceLookup">
            <xsd:sequence>
              <xsd:element name="Value" type="dms:Lookup" maxOccurs="unbounded" minOccurs="0" nillable="true"/>
            </xsd:sequence>
          </xsd:extension>
        </xsd:complexContent>
      </xsd:complexType>
    </xsd:element>
    <xsd:element name="jd1c641577414dfdab1686c9d5d0dbd0" ma:index="12" nillable="true" ma:taxonomy="true" ma:internalName="jd1c641577414dfdab1686c9d5d0dbd0" ma:taxonomyFieldName="HPRMSecurityCaveat" ma:displayName="Information Marker" ma:fieldId="{3d1c6415-7741-4dfd-ab16-86c9d5d0dbd0}" ma:taxonomyMulti="true" ma:sspId="fdd71c70-8dda-4116-8995-314ca52d638a" ma:termSetId="4779c3b8-a320-4a06-b8c8-666ff4292a5a" ma:anchorId="00000000-0000-0000-0000-000000000000" ma:open="false" ma:isKeyword="false">
      <xsd:complexType>
        <xsd:sequence>
          <xsd:element ref="pc:Terms" minOccurs="0" maxOccurs="1"/>
        </xsd:sequence>
      </xsd:complexType>
    </xsd:element>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9dd18ef37b94de185977157029677d8" ma:index="18" nillable="true" ma:taxonomy="true" ma:internalName="h9dd18ef37b94de185977157029677d8" ma:taxonomyFieldName="ESearchTags" ma:displayName="Tags" ma:fieldId="{19dd18ef-37b9-4de1-8597-7157029677d8}" ma:taxonomyMulti="true" ma:sspId="fdd71c70-8dda-4116-8995-314ca52d638a" ma:termSetId="8f252924-ebd5-4b35-b39d-81596a6204b5"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5f9fda-bd71-4433-b331-92feb9553089" elementFormDefault="qualified">
    <xsd:import namespace="http://schemas.microsoft.com/office/2006/documentManagement/types"/>
    <xsd:import namespace="http://schemas.microsoft.com/office/infopath/2007/PartnerControls"/>
    <xsd:element name="NonRecordJustification" ma:index="5" nillable="true" ma:displayName="Non-record justification" ma:default="None" ma:format="Dropdown" ma:internalName="NonRecordJustification" ma:readOnly="false">
      <xsd:simpleType>
        <xsd:restriction base="dms:Choice">
          <xsd:enumeration value="None"/>
          <xsd:enumeration value="Not defined as a record under the Archives Act of 1983"/>
          <xsd:enumeration value="Duplicate or low value item"/>
          <xsd:enumeration value="Superce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F56F3-D78E-4494-880C-DC61CCD15CB8}">
  <ds:schemaRefs>
    <ds:schemaRef ds:uri="http://schemas.microsoft.com/sharepoint/v3/contenttype/forms"/>
  </ds:schemaRefs>
</ds:datastoreItem>
</file>

<file path=customXml/itemProps2.xml><?xml version="1.0" encoding="utf-8"?>
<ds:datastoreItem xmlns:ds="http://schemas.openxmlformats.org/officeDocument/2006/customXml" ds:itemID="{6F82F62F-5136-402A-A0FC-C9BC439FF04B}">
  <ds:schemaRefs>
    <ds:schemaRef ds:uri="http://purl.org/dc/elements/1.1/"/>
    <ds:schemaRef ds:uri="http://schemas.microsoft.com/office/2006/metadata/properties"/>
    <ds:schemaRef ds:uri="http://purl.org/dc/terms/"/>
    <ds:schemaRef ds:uri="7b3d1248-05b8-42e3-a533-bc4fbc8238ab"/>
    <ds:schemaRef ds:uri="http://schemas.microsoft.com/office/2006/documentManagement/types"/>
    <ds:schemaRef ds:uri="http://schemas.microsoft.com/office/infopath/2007/PartnerControls"/>
    <ds:schemaRef ds:uri="http://schemas.openxmlformats.org/package/2006/metadata/core-properties"/>
    <ds:schemaRef ds:uri="685f9fda-bd71-4433-b331-92feb9553089"/>
    <ds:schemaRef ds:uri="http://www.w3.org/XML/1998/namespace"/>
    <ds:schemaRef ds:uri="http://purl.org/dc/dcmitype/"/>
  </ds:schemaRefs>
</ds:datastoreItem>
</file>

<file path=customXml/itemProps3.xml><?xml version="1.0" encoding="utf-8"?>
<ds:datastoreItem xmlns:ds="http://schemas.openxmlformats.org/officeDocument/2006/customXml" ds:itemID="{8E1D564B-F214-41D6-99EF-C4C373A5F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3d1248-05b8-42e3-a533-bc4fbc8238ab"/>
    <ds:schemaRef ds:uri="685f9fda-bd71-4433-b331-92feb95530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46F660-E37E-4602-A038-A449ECFC9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12208</Words>
  <Characters>69591</Characters>
  <Application>Microsoft Office Word</Application>
  <DocSecurity>4</DocSecurity>
  <Lines>579</Lines>
  <Paragraphs>163</Paragraphs>
  <ScaleCrop>false</ScaleCrop>
  <HeadingPairs>
    <vt:vector size="2" baseType="variant">
      <vt:variant>
        <vt:lpstr>Title</vt:lpstr>
      </vt:variant>
      <vt:variant>
        <vt:i4>1</vt:i4>
      </vt:variant>
    </vt:vector>
  </HeadingPairs>
  <TitlesOfParts>
    <vt:vector size="1" baseType="lpstr">
      <vt:lpstr/>
    </vt:vector>
  </TitlesOfParts>
  <Company>Department of the Prime Minister and Cabinet</Company>
  <LinksUpToDate>false</LinksUpToDate>
  <CharactersWithSpaces>81636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Jacqueline Menager</dc:creator>
  <cp:keywords/>
  <dc:description/>
  <cp:lastModifiedBy>Swalwell, Georgia</cp:lastModifiedBy>
  <cp:revision>2</cp:revision>
  <cp:lastPrinted>2020-09-03T03:38:00Z</cp:lastPrinted>
  <dcterms:created xsi:type="dcterms:W3CDTF">2020-09-14T00:11:00Z</dcterms:created>
  <dcterms:modified xsi:type="dcterms:W3CDTF">2020-09-14T00:11:00Z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0x0101002825A64A6E1845A99A9D8EE8A5686ECB0038DE6067F445304F86309C20B9B4F65E</vt:lpwstr>
  </property>
  <property fmtid="{D5CDD505-2E9C-101B-9397-08002B2CF9AE}" pid="3" name="HPRMSecurityLevel">
    <vt:lpwstr>34;#OFFICIAL|11463c70-78df-4e3b-b0ff-f66cd3cb26ec</vt:lpwstr>
  </property>
  <property fmtid="{D5CDD505-2E9C-101B-9397-08002B2CF9AE}" pid="4" name="HPRMSecurityCaveat">
    <vt:lpwstr/>
  </property>
  <property fmtid="{D5CDD505-2E9C-101B-9397-08002B2CF9AE}" pid="5" name="ESearchTags">
    <vt:lpwstr>6;#Training|2f396fb6-baad-479d-8254-1550153bbe31;#41;#COVID-19|c1da604a-829f-435b-844b-fd97e09d1455</vt:lpwstr>
  </property>
  <property fmtid="{D5CDD505-2E9C-101B-9397-08002B2CF9AE}" pid="6" name="PMC.ESearch.TagGeneratedTime">
    <vt:lpwstr>2020-09-13T17:20:07</vt:lpwstr>
  </property>
</Properties>
</file>